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DDC" w:rsidRPr="0021186C" w:rsidRDefault="006817B3">
      <w:pPr>
        <w:widowControl w:val="0"/>
        <w:pBdr>
          <w:top w:val="nil"/>
          <w:left w:val="nil"/>
          <w:bottom w:val="nil"/>
          <w:right w:val="nil"/>
          <w:between w:val="nil"/>
        </w:pBdr>
        <w:spacing w:line="360" w:lineRule="auto"/>
        <w:jc w:val="center"/>
        <w:rPr>
          <w:rFonts w:ascii="標楷體" w:eastAsia="標楷體" w:hAnsi="標楷體" w:cs="標楷體"/>
          <w:b/>
          <w:color w:val="000000" w:themeColor="text1"/>
          <w:sz w:val="32"/>
          <w:szCs w:val="32"/>
        </w:rPr>
      </w:pPr>
      <w:bookmarkStart w:id="0" w:name="_GoBack"/>
      <w:bookmarkEnd w:id="0"/>
      <w:r w:rsidRPr="0021186C">
        <w:rPr>
          <w:rFonts w:ascii="標楷體" w:eastAsia="標楷體" w:hAnsi="標楷體" w:cs="標楷體"/>
          <w:b/>
          <w:color w:val="000000" w:themeColor="text1"/>
          <w:sz w:val="32"/>
          <w:szCs w:val="32"/>
        </w:rPr>
        <w:t>彰化縣特殊教育教師辦理公開授課參考事項</w:t>
      </w:r>
      <w:r w:rsidR="00D177F4">
        <w:rPr>
          <w:rFonts w:ascii="標楷體" w:eastAsia="標楷體" w:hAnsi="標楷體" w:cs="標楷體" w:hint="eastAsia"/>
          <w:b/>
          <w:color w:val="000000" w:themeColor="text1"/>
          <w:sz w:val="32"/>
          <w:szCs w:val="32"/>
        </w:rPr>
        <w:t>(1</w:t>
      </w:r>
      <w:r w:rsidR="00D177F4">
        <w:rPr>
          <w:rFonts w:ascii="標楷體" w:eastAsia="標楷體" w:hAnsi="標楷體" w:cs="標楷體"/>
          <w:b/>
          <w:color w:val="000000" w:themeColor="text1"/>
          <w:sz w:val="32"/>
          <w:szCs w:val="32"/>
        </w:rPr>
        <w:t>10.3</w:t>
      </w:r>
      <w:r w:rsidR="00D177F4">
        <w:rPr>
          <w:rFonts w:ascii="標楷體" w:eastAsia="標楷體" w:hAnsi="標楷體" w:cs="標楷體" w:hint="eastAsia"/>
          <w:b/>
          <w:color w:val="000000" w:themeColor="text1"/>
          <w:sz w:val="32"/>
          <w:szCs w:val="32"/>
        </w:rPr>
        <w:t>)</w:t>
      </w:r>
    </w:p>
    <w:p w:rsidR="00C13DDC" w:rsidRPr="0021186C" w:rsidRDefault="00C13DDC">
      <w:pPr>
        <w:widowControl w:val="0"/>
        <w:pBdr>
          <w:top w:val="nil"/>
          <w:left w:val="nil"/>
          <w:bottom w:val="nil"/>
          <w:right w:val="nil"/>
          <w:between w:val="nil"/>
        </w:pBdr>
        <w:spacing w:line="360" w:lineRule="auto"/>
        <w:jc w:val="center"/>
        <w:rPr>
          <w:rFonts w:ascii="標楷體" w:eastAsia="標楷體" w:hAnsi="標楷體" w:cs="標楷體"/>
          <w:b/>
          <w:color w:val="000000" w:themeColor="text1"/>
          <w:sz w:val="24"/>
          <w:szCs w:val="24"/>
        </w:rPr>
      </w:pPr>
    </w:p>
    <w:p w:rsidR="003473C3" w:rsidRPr="0021186C" w:rsidRDefault="00861BD8" w:rsidP="00D36641">
      <w:pPr>
        <w:widowControl w:val="0"/>
        <w:pBdr>
          <w:top w:val="nil"/>
          <w:left w:val="nil"/>
          <w:bottom w:val="nil"/>
          <w:right w:val="nil"/>
          <w:between w:val="nil"/>
        </w:pBdr>
        <w:spacing w:line="360" w:lineRule="auto"/>
        <w:ind w:left="480" w:hangingChars="200" w:hanging="480"/>
        <w:rPr>
          <w:rFonts w:ascii="標楷體" w:eastAsia="標楷體" w:hAnsi="標楷體" w:cs="標楷體"/>
          <w:color w:val="000000" w:themeColor="text1"/>
          <w:sz w:val="24"/>
          <w:szCs w:val="24"/>
        </w:rPr>
      </w:pPr>
      <w:r w:rsidRPr="0021186C">
        <w:rPr>
          <w:rFonts w:ascii="標楷體" w:eastAsia="標楷體" w:hAnsi="標楷體" w:cs="標楷體" w:hint="eastAsia"/>
          <w:color w:val="000000" w:themeColor="text1"/>
          <w:sz w:val="24"/>
          <w:szCs w:val="24"/>
        </w:rPr>
        <w:t>一、</w:t>
      </w:r>
      <w:r w:rsidR="00D36641" w:rsidRPr="0021186C">
        <w:rPr>
          <w:rFonts w:ascii="標楷體" w:eastAsia="標楷體" w:hAnsi="標楷體" w:cs="標楷體" w:hint="eastAsia"/>
          <w:color w:val="000000" w:themeColor="text1"/>
          <w:sz w:val="24"/>
          <w:szCs w:val="24"/>
        </w:rPr>
        <w:t>為因應本縣服務不同特教班型的教師須彈性調整觀課模式的需求及解決身心障礙學生進行現場觀課時易受干擾的情形，特制訂本參考事項，以供本縣各教育階段特殊教育教師參考使用。</w:t>
      </w:r>
    </w:p>
    <w:p w:rsidR="00C13DDC" w:rsidRPr="0021186C" w:rsidRDefault="00861BD8">
      <w:pPr>
        <w:widowControl w:val="0"/>
        <w:pBdr>
          <w:top w:val="nil"/>
          <w:left w:val="nil"/>
          <w:bottom w:val="nil"/>
          <w:right w:val="nil"/>
          <w:between w:val="nil"/>
        </w:pBdr>
        <w:spacing w:line="360" w:lineRule="auto"/>
        <w:ind w:left="425" w:hanging="420"/>
        <w:rPr>
          <w:rFonts w:ascii="標楷體" w:eastAsia="標楷體" w:hAnsi="標楷體" w:cs="標楷體"/>
          <w:color w:val="000000" w:themeColor="text1"/>
          <w:sz w:val="24"/>
          <w:szCs w:val="24"/>
        </w:rPr>
      </w:pPr>
      <w:r w:rsidRPr="0021186C">
        <w:rPr>
          <w:rFonts w:ascii="標楷體" w:eastAsia="標楷體" w:hAnsi="標楷體" w:cs="標楷體" w:hint="eastAsia"/>
          <w:color w:val="000000" w:themeColor="text1"/>
          <w:sz w:val="24"/>
          <w:szCs w:val="24"/>
        </w:rPr>
        <w:t>二</w:t>
      </w:r>
      <w:r w:rsidR="006817B3" w:rsidRPr="0021186C">
        <w:rPr>
          <w:rFonts w:ascii="標楷體" w:eastAsia="標楷體" w:hAnsi="標楷體" w:cs="標楷體"/>
          <w:color w:val="000000" w:themeColor="text1"/>
          <w:sz w:val="24"/>
          <w:szCs w:val="24"/>
        </w:rPr>
        <w:t>、特殊教育(以下簡稱特教)辦理公開授課應參考「彰化縣政府所屬中小學實施校長及教師公開授課實施計畫」、「彰化縣國民中學與國民小學邀請家長參與公開授課原則」及教師所屬學校公開授課及等相關規定辦理。</w:t>
      </w:r>
    </w:p>
    <w:p w:rsidR="00C13DDC" w:rsidRPr="0021186C" w:rsidRDefault="00861BD8">
      <w:pPr>
        <w:widowControl w:val="0"/>
        <w:pBdr>
          <w:top w:val="nil"/>
          <w:left w:val="nil"/>
          <w:bottom w:val="nil"/>
          <w:right w:val="nil"/>
          <w:between w:val="nil"/>
        </w:pBdr>
        <w:spacing w:line="360" w:lineRule="auto"/>
        <w:ind w:left="425" w:hanging="425"/>
        <w:rPr>
          <w:rFonts w:ascii="標楷體" w:eastAsia="標楷體" w:hAnsi="標楷體" w:cs="標楷體"/>
          <w:color w:val="000000" w:themeColor="text1"/>
          <w:sz w:val="24"/>
          <w:szCs w:val="24"/>
        </w:rPr>
      </w:pPr>
      <w:bookmarkStart w:id="1" w:name="_heading=h.gjdgxs" w:colFirst="0" w:colLast="0"/>
      <w:bookmarkEnd w:id="1"/>
      <w:r w:rsidRPr="0021186C">
        <w:rPr>
          <w:rFonts w:ascii="標楷體" w:eastAsia="標楷體" w:hAnsi="標楷體" w:cs="標楷體" w:hint="eastAsia"/>
          <w:color w:val="000000" w:themeColor="text1"/>
          <w:sz w:val="24"/>
          <w:szCs w:val="24"/>
        </w:rPr>
        <w:t>三</w:t>
      </w:r>
      <w:r w:rsidR="006817B3" w:rsidRPr="0021186C">
        <w:rPr>
          <w:rFonts w:ascii="標楷體" w:eastAsia="標楷體" w:hAnsi="標楷體" w:cs="標楷體"/>
          <w:color w:val="000000" w:themeColor="text1"/>
          <w:sz w:val="24"/>
          <w:szCs w:val="24"/>
        </w:rPr>
        <w:t>、公開授課包括共同備課、教學觀察(觀課)及專業回饋(議課)</w:t>
      </w:r>
      <w:r w:rsidR="00485A3E" w:rsidRPr="0021186C">
        <w:rPr>
          <w:rFonts w:ascii="標楷體" w:eastAsia="標楷體" w:hAnsi="標楷體" w:cs="標楷體"/>
          <w:color w:val="000000" w:themeColor="text1"/>
          <w:sz w:val="24"/>
          <w:szCs w:val="24"/>
        </w:rPr>
        <w:t>，並視需要進行說課，教師宜針對上述階段留下歷程</w:t>
      </w:r>
      <w:r w:rsidR="00485A3E" w:rsidRPr="0021186C">
        <w:rPr>
          <w:rFonts w:ascii="標楷體" w:eastAsia="標楷體" w:hAnsi="標楷體" w:cs="標楷體" w:hint="eastAsia"/>
          <w:b/>
          <w:color w:val="000000" w:themeColor="text1"/>
          <w:sz w:val="24"/>
          <w:szCs w:val="24"/>
        </w:rPr>
        <w:t>紀</w:t>
      </w:r>
      <w:r w:rsidR="006817B3" w:rsidRPr="0021186C">
        <w:rPr>
          <w:rFonts w:ascii="標楷體" w:eastAsia="標楷體" w:hAnsi="標楷體" w:cs="標楷體"/>
          <w:color w:val="000000" w:themeColor="text1"/>
          <w:sz w:val="24"/>
          <w:szCs w:val="24"/>
        </w:rPr>
        <w:t>錄，可參考本縣特教輔導團(詳見彰化縣教育處雲端系統)、學習共同體、教師專業發展評鑑、分組合作學習及基地學校等相關表件依需求選用。</w:t>
      </w:r>
    </w:p>
    <w:p w:rsidR="00C13DDC" w:rsidRPr="0021186C" w:rsidRDefault="00861BD8">
      <w:pPr>
        <w:widowControl w:val="0"/>
        <w:pBdr>
          <w:top w:val="nil"/>
          <w:left w:val="nil"/>
          <w:bottom w:val="nil"/>
          <w:right w:val="nil"/>
          <w:between w:val="nil"/>
        </w:pBdr>
        <w:spacing w:line="360" w:lineRule="auto"/>
        <w:rPr>
          <w:rFonts w:ascii="標楷體" w:eastAsia="標楷體" w:hAnsi="標楷體" w:cs="標楷體"/>
          <w:b/>
          <w:color w:val="000000" w:themeColor="text1"/>
          <w:sz w:val="24"/>
          <w:szCs w:val="24"/>
        </w:rPr>
      </w:pPr>
      <w:r w:rsidRPr="0021186C">
        <w:rPr>
          <w:rFonts w:ascii="標楷體" w:eastAsia="標楷體" w:hAnsi="標楷體" w:cs="標楷體" w:hint="eastAsia"/>
          <w:color w:val="000000" w:themeColor="text1"/>
          <w:sz w:val="24"/>
          <w:szCs w:val="24"/>
        </w:rPr>
        <w:t>四</w:t>
      </w:r>
      <w:r w:rsidR="006817B3" w:rsidRPr="0021186C">
        <w:rPr>
          <w:rFonts w:ascii="標楷體" w:eastAsia="標楷體" w:hAnsi="標楷體" w:cs="標楷體"/>
          <w:color w:val="000000" w:themeColor="text1"/>
          <w:sz w:val="24"/>
          <w:szCs w:val="24"/>
        </w:rPr>
        <w:t>、共同備課實施方式</w:t>
      </w:r>
    </w:p>
    <w:p w:rsidR="00C13DDC" w:rsidRPr="0021186C" w:rsidRDefault="006817B3">
      <w:pPr>
        <w:widowControl w:val="0"/>
        <w:pBdr>
          <w:top w:val="nil"/>
          <w:left w:val="nil"/>
          <w:bottom w:val="nil"/>
          <w:right w:val="nil"/>
          <w:between w:val="nil"/>
        </w:pBdr>
        <w:spacing w:line="360" w:lineRule="auto"/>
        <w:ind w:left="1417" w:hanging="1133"/>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(一)成員：除教學者外，</w:t>
      </w:r>
      <w:r w:rsidR="002D30CF" w:rsidRPr="0021186C">
        <w:rPr>
          <w:rFonts w:ascii="標楷體" w:eastAsia="標楷體" w:hAnsi="標楷體" w:cs="標楷體" w:hint="eastAsia"/>
          <w:color w:val="000000" w:themeColor="text1"/>
          <w:sz w:val="24"/>
          <w:szCs w:val="24"/>
        </w:rPr>
        <w:t>建議</w:t>
      </w:r>
      <w:r w:rsidRPr="0021186C">
        <w:rPr>
          <w:rFonts w:ascii="標楷體" w:eastAsia="標楷體" w:hAnsi="標楷體" w:cs="標楷體"/>
          <w:color w:val="000000" w:themeColor="text1"/>
          <w:sz w:val="24"/>
          <w:szCs w:val="24"/>
        </w:rPr>
        <w:t>至少邀請兩位校內(外)教師(包括普通班教師或特教教師)共同組成備課小組，進行共同備課；授課領域若為部定課程</w:t>
      </w:r>
      <w:r w:rsidR="002D30CF" w:rsidRPr="0021186C">
        <w:rPr>
          <w:rFonts w:ascii="標楷體" w:eastAsia="標楷體" w:hAnsi="標楷體" w:cs="標楷體" w:hint="eastAsia"/>
          <w:color w:val="000000" w:themeColor="text1"/>
          <w:sz w:val="24"/>
          <w:szCs w:val="24"/>
        </w:rPr>
        <w:t>(如</w:t>
      </w:r>
      <w:r w:rsidR="00FF0EBA" w:rsidRPr="0021186C">
        <w:rPr>
          <w:rFonts w:ascii="標楷體" w:eastAsia="標楷體" w:hAnsi="標楷體" w:cs="標楷體" w:hint="eastAsia"/>
          <w:color w:val="000000" w:themeColor="text1"/>
          <w:sz w:val="24"/>
          <w:szCs w:val="24"/>
        </w:rPr>
        <w:t>：</w:t>
      </w:r>
      <w:r w:rsidR="002D30CF" w:rsidRPr="0021186C">
        <w:rPr>
          <w:rFonts w:ascii="標楷體" w:eastAsia="標楷體" w:hAnsi="標楷體" w:cs="標楷體" w:hint="eastAsia"/>
          <w:color w:val="000000" w:themeColor="text1"/>
          <w:sz w:val="24"/>
          <w:szCs w:val="24"/>
        </w:rPr>
        <w:t>國語文、數學等)</w:t>
      </w:r>
      <w:r w:rsidRPr="0021186C">
        <w:rPr>
          <w:rFonts w:ascii="標楷體" w:eastAsia="標楷體" w:hAnsi="標楷體" w:cs="標楷體"/>
          <w:color w:val="000000" w:themeColor="text1"/>
          <w:sz w:val="24"/>
          <w:szCs w:val="24"/>
        </w:rPr>
        <w:t>，則建議</w:t>
      </w:r>
      <w:r w:rsidR="00DD3D69" w:rsidRPr="0021186C">
        <w:rPr>
          <w:rFonts w:ascii="標楷體" w:eastAsia="標楷體" w:hAnsi="標楷體" w:cs="標楷體" w:hint="eastAsia"/>
          <w:color w:val="000000" w:themeColor="text1"/>
          <w:sz w:val="24"/>
          <w:szCs w:val="24"/>
        </w:rPr>
        <w:t>優先</w:t>
      </w:r>
      <w:r w:rsidRPr="0021186C">
        <w:rPr>
          <w:rFonts w:ascii="標楷體" w:eastAsia="標楷體" w:hAnsi="標楷體" w:cs="標楷體"/>
          <w:color w:val="000000" w:themeColor="text1"/>
          <w:sz w:val="24"/>
          <w:szCs w:val="24"/>
        </w:rPr>
        <w:t>邀請該領域普通班教師一起備課。</w:t>
      </w:r>
    </w:p>
    <w:p w:rsidR="00C13DDC" w:rsidRPr="0021186C" w:rsidRDefault="006817B3">
      <w:pPr>
        <w:widowControl w:val="0"/>
        <w:spacing w:line="360" w:lineRule="auto"/>
        <w:ind w:left="1417" w:hanging="1133"/>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(二)方式：包括面對面、協作平台</w:t>
      </w:r>
      <w:r w:rsidR="00FF0EBA" w:rsidRPr="0021186C">
        <w:rPr>
          <w:rFonts w:ascii="標楷體" w:eastAsia="標楷體" w:hAnsi="標楷體" w:cs="標楷體" w:hint="eastAsia"/>
          <w:color w:val="000000" w:themeColor="text1"/>
          <w:sz w:val="24"/>
          <w:szCs w:val="24"/>
        </w:rPr>
        <w:t>(如：google視訊會議)</w:t>
      </w:r>
      <w:r w:rsidRPr="0021186C">
        <w:rPr>
          <w:rFonts w:ascii="標楷體" w:eastAsia="標楷體" w:hAnsi="標楷體" w:cs="標楷體"/>
          <w:color w:val="000000" w:themeColor="text1"/>
          <w:sz w:val="24"/>
          <w:szCs w:val="24"/>
        </w:rPr>
        <w:t>和線上社群</w:t>
      </w:r>
      <w:r w:rsidR="00FF0EBA" w:rsidRPr="0021186C">
        <w:rPr>
          <w:rFonts w:ascii="標楷體" w:eastAsia="標楷體" w:hAnsi="標楷體" w:cs="標楷體" w:hint="eastAsia"/>
          <w:color w:val="000000" w:themeColor="text1"/>
          <w:sz w:val="24"/>
          <w:szCs w:val="24"/>
        </w:rPr>
        <w:t>(如：LINE、FB等)</w:t>
      </w:r>
      <w:r w:rsidRPr="0021186C">
        <w:rPr>
          <w:rFonts w:ascii="標楷體" w:eastAsia="標楷體" w:hAnsi="標楷體" w:cs="標楷體"/>
          <w:color w:val="000000" w:themeColor="text1"/>
          <w:sz w:val="24"/>
          <w:szCs w:val="24"/>
        </w:rPr>
        <w:t>等方式，教師可依實際需求彈性採用。</w:t>
      </w:r>
    </w:p>
    <w:p w:rsidR="00C13DDC" w:rsidRPr="0021186C" w:rsidRDefault="006817B3">
      <w:pPr>
        <w:widowControl w:val="0"/>
        <w:pBdr>
          <w:top w:val="nil"/>
          <w:left w:val="nil"/>
          <w:bottom w:val="nil"/>
          <w:right w:val="nil"/>
          <w:between w:val="nil"/>
        </w:pBdr>
        <w:spacing w:line="360" w:lineRule="auto"/>
        <w:ind w:left="1417" w:hanging="1133"/>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三)重點：教學設計應以符合素養導向教學及評量為原則，針對學習目標(含核心素養、學習表現與學習內容)、學生經驗(含學生特性、在該領域的起點行為…等)、教師教學預定流程與策略、學生學習策略或方法、教學評量方式進行討論，並視需要融入相關議題，同時依照特教班型進行設計。</w:t>
      </w:r>
    </w:p>
    <w:p w:rsidR="00C13DDC" w:rsidRPr="0021186C" w:rsidRDefault="006817B3">
      <w:pPr>
        <w:widowControl w:val="0"/>
        <w:pBdr>
          <w:top w:val="nil"/>
          <w:left w:val="nil"/>
          <w:bottom w:val="nil"/>
          <w:right w:val="nil"/>
          <w:between w:val="nil"/>
        </w:pBdr>
        <w:spacing w:line="360" w:lineRule="auto"/>
        <w:ind w:left="2409" w:hanging="1842"/>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1.分散式資源班：建議聚焦於</w:t>
      </w:r>
      <w:r w:rsidR="00B8403E" w:rsidRPr="0021186C">
        <w:rPr>
          <w:rFonts w:ascii="標楷體" w:eastAsia="標楷體" w:hAnsi="標楷體" w:cs="標楷體"/>
          <w:color w:val="000000" w:themeColor="text1"/>
          <w:sz w:val="24"/>
          <w:szCs w:val="24"/>
        </w:rPr>
        <w:t>特殊需求領域課程</w:t>
      </w:r>
      <w:r w:rsidR="00B8403E" w:rsidRPr="0021186C">
        <w:rPr>
          <w:rFonts w:ascii="標楷體" w:eastAsia="標楷體" w:hAnsi="標楷體" w:cs="標楷體" w:hint="eastAsia"/>
          <w:color w:val="000000" w:themeColor="text1"/>
          <w:sz w:val="24"/>
          <w:szCs w:val="24"/>
        </w:rPr>
        <w:t>、</w:t>
      </w:r>
      <w:r w:rsidR="00B8403E" w:rsidRPr="0021186C">
        <w:rPr>
          <w:rFonts w:ascii="標楷體" w:eastAsia="標楷體" w:hAnsi="標楷體" w:cs="標楷體"/>
          <w:color w:val="000000" w:themeColor="text1"/>
          <w:sz w:val="24"/>
          <w:szCs w:val="24"/>
        </w:rPr>
        <w:t>課程調整</w:t>
      </w:r>
      <w:r w:rsidR="00B8403E" w:rsidRPr="0021186C">
        <w:rPr>
          <w:rFonts w:ascii="標楷體" w:eastAsia="標楷體" w:hAnsi="標楷體" w:cs="標楷體" w:hint="eastAsia"/>
          <w:color w:val="000000" w:themeColor="text1"/>
          <w:sz w:val="24"/>
          <w:szCs w:val="24"/>
        </w:rPr>
        <w:t>及</w:t>
      </w:r>
      <w:r w:rsidRPr="0021186C">
        <w:rPr>
          <w:rFonts w:ascii="標楷體" w:eastAsia="標楷體" w:hAnsi="標楷體" w:cs="標楷體"/>
          <w:color w:val="000000" w:themeColor="text1"/>
          <w:sz w:val="24"/>
          <w:szCs w:val="24"/>
        </w:rPr>
        <w:t>多層次教學的教學規劃。</w:t>
      </w:r>
    </w:p>
    <w:p w:rsidR="00C13DDC" w:rsidRPr="0021186C" w:rsidRDefault="006817B3">
      <w:pPr>
        <w:widowControl w:val="0"/>
        <w:pBdr>
          <w:top w:val="nil"/>
          <w:left w:val="nil"/>
          <w:bottom w:val="nil"/>
          <w:right w:val="nil"/>
          <w:between w:val="nil"/>
        </w:pBdr>
        <w:spacing w:line="360" w:lineRule="auto"/>
        <w:ind w:left="2409" w:hanging="1842"/>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2.集中式特教班：建議聚焦於多層次教學、跨領域(核心)課程設計、課程調整(如人力資源及輔助科技的運用)、特殊需求領域課程</w:t>
      </w:r>
      <w:r w:rsidR="00B46693" w:rsidRPr="0021186C">
        <w:rPr>
          <w:rFonts w:ascii="標楷體" w:eastAsia="標楷體" w:hAnsi="標楷體" w:cs="標楷體" w:hint="eastAsia"/>
          <w:color w:val="000000" w:themeColor="text1"/>
          <w:sz w:val="24"/>
          <w:szCs w:val="24"/>
        </w:rPr>
        <w:t>、融合教育課程</w:t>
      </w:r>
      <w:r w:rsidRPr="0021186C">
        <w:rPr>
          <w:rFonts w:ascii="標楷體" w:eastAsia="標楷體" w:hAnsi="標楷體" w:cs="標楷體"/>
          <w:color w:val="000000" w:themeColor="text1"/>
          <w:sz w:val="24"/>
          <w:szCs w:val="24"/>
        </w:rPr>
        <w:t>、課程結合專業團隊建議的教學規劃。</w:t>
      </w:r>
    </w:p>
    <w:p w:rsidR="00C13DDC" w:rsidRPr="0021186C" w:rsidRDefault="006817B3">
      <w:pPr>
        <w:widowControl w:val="0"/>
        <w:pBdr>
          <w:top w:val="nil"/>
          <w:left w:val="nil"/>
          <w:bottom w:val="nil"/>
          <w:right w:val="nil"/>
          <w:between w:val="nil"/>
        </w:pBdr>
        <w:spacing w:line="360" w:lineRule="auto"/>
        <w:ind w:left="2409" w:hanging="1842"/>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3.巡迴輔導班：得依接受輔導學生之需求比照上述班型教學設計重點進行規劃。</w:t>
      </w:r>
    </w:p>
    <w:p w:rsidR="00C13DDC" w:rsidRPr="0021186C" w:rsidRDefault="00861BD8">
      <w:pPr>
        <w:widowControl w:val="0"/>
        <w:pBdr>
          <w:top w:val="nil"/>
          <w:left w:val="nil"/>
          <w:bottom w:val="nil"/>
          <w:right w:val="nil"/>
          <w:between w:val="nil"/>
        </w:pBdr>
        <w:spacing w:line="360" w:lineRule="auto"/>
        <w:rPr>
          <w:rFonts w:ascii="標楷體" w:eastAsia="標楷體" w:hAnsi="標楷體" w:cs="標楷體"/>
          <w:color w:val="000000" w:themeColor="text1"/>
          <w:sz w:val="24"/>
          <w:szCs w:val="24"/>
        </w:rPr>
      </w:pPr>
      <w:r w:rsidRPr="0021186C">
        <w:rPr>
          <w:rFonts w:ascii="標楷體" w:eastAsia="標楷體" w:hAnsi="標楷體" w:cs="標楷體" w:hint="eastAsia"/>
          <w:color w:val="000000" w:themeColor="text1"/>
          <w:sz w:val="24"/>
          <w:szCs w:val="24"/>
        </w:rPr>
        <w:t>五</w:t>
      </w:r>
      <w:r w:rsidR="006817B3" w:rsidRPr="0021186C">
        <w:rPr>
          <w:rFonts w:ascii="標楷體" w:eastAsia="標楷體" w:hAnsi="標楷體" w:cs="標楷體"/>
          <w:color w:val="000000" w:themeColor="text1"/>
          <w:sz w:val="24"/>
          <w:szCs w:val="24"/>
        </w:rPr>
        <w:t>、說課實施方式</w:t>
      </w:r>
    </w:p>
    <w:p w:rsidR="00C13DDC" w:rsidRPr="0021186C" w:rsidRDefault="006817B3">
      <w:pPr>
        <w:widowControl w:val="0"/>
        <w:pBdr>
          <w:top w:val="nil"/>
          <w:left w:val="nil"/>
          <w:bottom w:val="nil"/>
          <w:right w:val="nil"/>
          <w:between w:val="nil"/>
        </w:pBdr>
        <w:spacing w:line="360" w:lineRule="auto"/>
        <w:ind w:left="708" w:hanging="425"/>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(一)</w:t>
      </w:r>
      <w:r w:rsidR="00614904" w:rsidRPr="0021186C">
        <w:rPr>
          <w:rFonts w:ascii="標楷體" w:eastAsia="標楷體" w:hAnsi="標楷體" w:cs="標楷體"/>
          <w:color w:val="000000" w:themeColor="text1"/>
          <w:sz w:val="24"/>
          <w:szCs w:val="24"/>
        </w:rPr>
        <w:t>得依</w:t>
      </w:r>
      <w:r w:rsidR="00614904" w:rsidRPr="0021186C">
        <w:rPr>
          <w:rFonts w:ascii="標楷體" w:eastAsia="標楷體" w:hAnsi="標楷體" w:cs="標楷體" w:hint="eastAsia"/>
          <w:color w:val="000000" w:themeColor="text1"/>
          <w:sz w:val="24"/>
          <w:szCs w:val="24"/>
        </w:rPr>
        <w:t>觀</w:t>
      </w:r>
      <w:r w:rsidR="0094699D" w:rsidRPr="0021186C">
        <w:rPr>
          <w:rFonts w:ascii="標楷體" w:eastAsia="標楷體" w:hAnsi="標楷體" w:cs="標楷體"/>
          <w:color w:val="000000" w:themeColor="text1"/>
          <w:sz w:val="24"/>
          <w:szCs w:val="24"/>
        </w:rPr>
        <w:t>課</w:t>
      </w:r>
      <w:r w:rsidR="00614904" w:rsidRPr="0021186C">
        <w:rPr>
          <w:rFonts w:ascii="標楷體" w:eastAsia="標楷體" w:hAnsi="標楷體" w:cs="標楷體" w:hint="eastAsia"/>
          <w:color w:val="000000" w:themeColor="text1"/>
          <w:sz w:val="24"/>
          <w:szCs w:val="24"/>
        </w:rPr>
        <w:t>型</w:t>
      </w:r>
      <w:r w:rsidRPr="0021186C">
        <w:rPr>
          <w:rFonts w:ascii="標楷體" w:eastAsia="標楷體" w:hAnsi="標楷體" w:cs="標楷體"/>
          <w:color w:val="000000" w:themeColor="text1"/>
          <w:sz w:val="24"/>
          <w:szCs w:val="24"/>
        </w:rPr>
        <w:t>式</w:t>
      </w:r>
      <w:r w:rsidR="007E71D9" w:rsidRPr="0021186C">
        <w:rPr>
          <w:rFonts w:ascii="標楷體" w:eastAsia="標楷體" w:hAnsi="標楷體" w:cs="標楷體" w:hint="eastAsia"/>
          <w:color w:val="000000" w:themeColor="text1"/>
          <w:sz w:val="24"/>
          <w:szCs w:val="24"/>
        </w:rPr>
        <w:t>及</w:t>
      </w:r>
      <w:r w:rsidR="00614904" w:rsidRPr="0021186C">
        <w:rPr>
          <w:rFonts w:ascii="標楷體" w:eastAsia="標楷體" w:hAnsi="標楷體" w:cs="標楷體"/>
          <w:color w:val="000000" w:themeColor="text1"/>
          <w:sz w:val="24"/>
          <w:szCs w:val="24"/>
        </w:rPr>
        <w:t>辦理時間</w:t>
      </w:r>
      <w:r w:rsidR="007E71D9" w:rsidRPr="0021186C">
        <w:rPr>
          <w:rFonts w:ascii="標楷體" w:eastAsia="標楷體" w:hAnsi="標楷體" w:cs="標楷體" w:hint="eastAsia"/>
          <w:color w:val="000000" w:themeColor="text1"/>
          <w:sz w:val="24"/>
          <w:szCs w:val="24"/>
        </w:rPr>
        <w:t>，</w:t>
      </w:r>
      <w:r w:rsidR="00614904" w:rsidRPr="0021186C">
        <w:rPr>
          <w:rFonts w:ascii="標楷體" w:eastAsia="標楷體" w:hAnsi="標楷體" w:cs="標楷體"/>
          <w:color w:val="000000" w:themeColor="text1"/>
          <w:sz w:val="24"/>
          <w:szCs w:val="24"/>
        </w:rPr>
        <w:t>彈性安排於</w:t>
      </w:r>
      <w:r w:rsidR="00614904" w:rsidRPr="0021186C">
        <w:rPr>
          <w:rFonts w:ascii="標楷體" w:eastAsia="標楷體" w:hAnsi="標楷體" w:cs="標楷體" w:hint="eastAsia"/>
          <w:color w:val="000000" w:themeColor="text1"/>
          <w:sz w:val="24"/>
          <w:szCs w:val="24"/>
        </w:rPr>
        <w:t>觀</w:t>
      </w:r>
      <w:r w:rsidR="00614904" w:rsidRPr="0021186C">
        <w:rPr>
          <w:rFonts w:ascii="標楷體" w:eastAsia="標楷體" w:hAnsi="標楷體" w:cs="標楷體"/>
          <w:color w:val="000000" w:themeColor="text1"/>
          <w:sz w:val="24"/>
          <w:szCs w:val="24"/>
        </w:rPr>
        <w:t>課或</w:t>
      </w:r>
      <w:r w:rsidRPr="0021186C">
        <w:rPr>
          <w:rFonts w:ascii="標楷體" w:eastAsia="標楷體" w:hAnsi="標楷體" w:cs="標楷體"/>
          <w:color w:val="000000" w:themeColor="text1"/>
          <w:sz w:val="24"/>
          <w:szCs w:val="24"/>
        </w:rPr>
        <w:t>議課之前進行</w:t>
      </w:r>
      <w:r w:rsidR="00A6504A" w:rsidRPr="0021186C">
        <w:rPr>
          <w:rFonts w:ascii="標楷體" w:eastAsia="標楷體" w:hAnsi="標楷體" w:cs="標楷體" w:hint="eastAsia"/>
          <w:color w:val="000000" w:themeColor="text1"/>
          <w:sz w:val="24"/>
          <w:szCs w:val="24"/>
        </w:rPr>
        <w:t>。</w:t>
      </w:r>
    </w:p>
    <w:p w:rsidR="00C13DDC" w:rsidRPr="0021186C" w:rsidRDefault="006817B3">
      <w:pPr>
        <w:widowControl w:val="0"/>
        <w:pBdr>
          <w:top w:val="nil"/>
          <w:left w:val="nil"/>
          <w:bottom w:val="nil"/>
          <w:right w:val="nil"/>
          <w:between w:val="nil"/>
        </w:pBdr>
        <w:spacing w:line="360" w:lineRule="auto"/>
        <w:ind w:left="708" w:hanging="420"/>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(二)可利用約5-10分鐘針對本次觀課重點、教學/分組的對象、課程設計、教學目標、教學策略進行說明。</w:t>
      </w:r>
    </w:p>
    <w:p w:rsidR="00C13DDC" w:rsidRPr="0021186C" w:rsidRDefault="006817B3">
      <w:pPr>
        <w:widowControl w:val="0"/>
        <w:pBdr>
          <w:top w:val="nil"/>
          <w:left w:val="nil"/>
          <w:bottom w:val="nil"/>
          <w:right w:val="nil"/>
          <w:between w:val="nil"/>
        </w:pBdr>
        <w:spacing w:line="360" w:lineRule="auto"/>
        <w:ind w:left="708" w:hanging="425"/>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(三)若參加觀課成員全為共備人員，則可省略說課的過程。</w:t>
      </w:r>
    </w:p>
    <w:p w:rsidR="00C13DDC" w:rsidRPr="0021186C" w:rsidRDefault="00861BD8">
      <w:pPr>
        <w:widowControl w:val="0"/>
        <w:pBdr>
          <w:top w:val="nil"/>
          <w:left w:val="nil"/>
          <w:bottom w:val="nil"/>
          <w:right w:val="nil"/>
          <w:between w:val="nil"/>
        </w:pBdr>
        <w:spacing w:line="360" w:lineRule="auto"/>
        <w:rPr>
          <w:rFonts w:ascii="標楷體" w:eastAsia="標楷體" w:hAnsi="標楷體" w:cs="標楷體"/>
          <w:color w:val="000000" w:themeColor="text1"/>
          <w:sz w:val="24"/>
          <w:szCs w:val="24"/>
        </w:rPr>
      </w:pPr>
      <w:r w:rsidRPr="0021186C">
        <w:rPr>
          <w:rFonts w:ascii="標楷體" w:eastAsia="標楷體" w:hAnsi="標楷體" w:cs="標楷體" w:hint="eastAsia"/>
          <w:color w:val="000000" w:themeColor="text1"/>
          <w:sz w:val="24"/>
          <w:szCs w:val="24"/>
        </w:rPr>
        <w:lastRenderedPageBreak/>
        <w:t>六</w:t>
      </w:r>
      <w:r w:rsidR="006817B3" w:rsidRPr="0021186C">
        <w:rPr>
          <w:rFonts w:ascii="標楷體" w:eastAsia="標楷體" w:hAnsi="標楷體" w:cs="標楷體"/>
          <w:color w:val="000000" w:themeColor="text1"/>
          <w:sz w:val="24"/>
          <w:szCs w:val="24"/>
        </w:rPr>
        <w:t>、觀課/授課實施方式</w:t>
      </w:r>
    </w:p>
    <w:p w:rsidR="00C13DDC" w:rsidRPr="0021186C" w:rsidRDefault="006817B3">
      <w:pPr>
        <w:widowControl w:val="0"/>
        <w:spacing w:line="360" w:lineRule="auto"/>
        <w:ind w:left="708" w:hanging="425"/>
        <w:rPr>
          <w:rFonts w:ascii="標楷體" w:eastAsia="標楷體" w:hAnsi="標楷體" w:cs="標楷體"/>
          <w:color w:val="000000" w:themeColor="text1"/>
          <w:sz w:val="24"/>
          <w:szCs w:val="24"/>
          <w:u w:val="single"/>
        </w:rPr>
      </w:pPr>
      <w:r w:rsidRPr="0021186C">
        <w:rPr>
          <w:rFonts w:ascii="標楷體" w:eastAsia="標楷體" w:hAnsi="標楷體" w:cs="標楷體"/>
          <w:color w:val="000000" w:themeColor="text1"/>
          <w:sz w:val="24"/>
          <w:szCs w:val="24"/>
        </w:rPr>
        <w:t>(一)</w:t>
      </w:r>
      <w:r w:rsidR="00614904" w:rsidRPr="0021186C">
        <w:rPr>
          <w:rFonts w:ascii="標楷體" w:eastAsia="標楷體" w:hAnsi="標楷體" w:cs="標楷體" w:hint="eastAsia"/>
          <w:color w:val="000000" w:themeColor="text1"/>
          <w:sz w:val="24"/>
          <w:szCs w:val="24"/>
        </w:rPr>
        <w:t>授</w:t>
      </w:r>
      <w:r w:rsidRPr="0021186C">
        <w:rPr>
          <w:rFonts w:ascii="標楷體" w:eastAsia="標楷體" w:hAnsi="標楷體" w:cs="標楷體"/>
          <w:color w:val="000000" w:themeColor="text1"/>
          <w:sz w:val="24"/>
          <w:szCs w:val="24"/>
        </w:rPr>
        <w:t>課前相關準備，包括</w:t>
      </w:r>
      <w:r w:rsidR="007E71D9" w:rsidRPr="0021186C">
        <w:rPr>
          <w:rFonts w:ascii="標楷體" w:eastAsia="標楷體" w:hAnsi="標楷體" w:cs="標楷體" w:hint="eastAsia"/>
          <w:color w:val="000000" w:themeColor="text1"/>
          <w:sz w:val="24"/>
          <w:szCs w:val="24"/>
        </w:rPr>
        <w:t>觀</w:t>
      </w:r>
      <w:r w:rsidR="007E71D9" w:rsidRPr="0021186C">
        <w:rPr>
          <w:rFonts w:ascii="標楷體" w:eastAsia="標楷體" w:hAnsi="標楷體" w:cs="標楷體"/>
          <w:color w:val="000000" w:themeColor="text1"/>
          <w:sz w:val="24"/>
          <w:szCs w:val="24"/>
        </w:rPr>
        <w:t>課型式、</w:t>
      </w:r>
      <w:r w:rsidR="00714233" w:rsidRPr="0021186C">
        <w:rPr>
          <w:rFonts w:ascii="標楷體" w:eastAsia="標楷體" w:hAnsi="標楷體" w:cs="標楷體"/>
          <w:color w:val="000000" w:themeColor="text1"/>
          <w:sz w:val="24"/>
          <w:szCs w:val="24"/>
        </w:rPr>
        <w:t>觀課議課</w:t>
      </w:r>
      <w:r w:rsidR="00714233" w:rsidRPr="0021186C">
        <w:rPr>
          <w:rFonts w:ascii="標楷體" w:eastAsia="標楷體" w:hAnsi="標楷體" w:cs="標楷體" w:hint="eastAsia"/>
          <w:color w:val="000000" w:themeColor="text1"/>
          <w:sz w:val="24"/>
          <w:szCs w:val="24"/>
        </w:rPr>
        <w:t>時間及</w:t>
      </w:r>
      <w:r w:rsidR="00714233" w:rsidRPr="0021186C">
        <w:rPr>
          <w:rFonts w:ascii="標楷體" w:eastAsia="標楷體" w:hAnsi="標楷體" w:cs="標楷體"/>
          <w:color w:val="000000" w:themeColor="text1"/>
          <w:sz w:val="24"/>
          <w:szCs w:val="24"/>
        </w:rPr>
        <w:t>場地、開放觀課人數、</w:t>
      </w:r>
      <w:r w:rsidR="00714233" w:rsidRPr="0021186C">
        <w:rPr>
          <w:rFonts w:ascii="標楷體" w:eastAsia="標楷體" w:hAnsi="標楷體" w:cs="標楷體" w:hint="eastAsia"/>
          <w:color w:val="000000" w:themeColor="text1"/>
          <w:sz w:val="24"/>
          <w:szCs w:val="24"/>
        </w:rPr>
        <w:t>觀</w:t>
      </w:r>
      <w:r w:rsidR="00714233" w:rsidRPr="0021186C">
        <w:rPr>
          <w:rFonts w:ascii="標楷體" w:eastAsia="標楷體" w:hAnsi="標楷體" w:cs="標楷體"/>
          <w:color w:val="000000" w:themeColor="text1"/>
          <w:sz w:val="24"/>
          <w:szCs w:val="24"/>
        </w:rPr>
        <w:t>課當天工作分配</w:t>
      </w:r>
      <w:r w:rsidR="00714233" w:rsidRPr="0021186C">
        <w:rPr>
          <w:rFonts w:ascii="標楷體" w:eastAsia="標楷體" w:hAnsi="標楷體" w:cs="標楷體" w:hint="eastAsia"/>
          <w:color w:val="000000" w:themeColor="text1"/>
          <w:sz w:val="24"/>
          <w:szCs w:val="24"/>
        </w:rPr>
        <w:t>、</w:t>
      </w:r>
      <w:r w:rsidR="00714233" w:rsidRPr="0021186C">
        <w:rPr>
          <w:rFonts w:ascii="標楷體" w:eastAsia="標楷體" w:hAnsi="標楷體" w:cs="標楷體"/>
          <w:color w:val="000000" w:themeColor="text1"/>
          <w:sz w:val="24"/>
          <w:szCs w:val="24"/>
        </w:rPr>
        <w:t>選用及確認觀課紀錄表、</w:t>
      </w:r>
      <w:r w:rsidRPr="0021186C">
        <w:rPr>
          <w:rFonts w:ascii="標楷體" w:eastAsia="標楷體" w:hAnsi="標楷體" w:cs="標楷體"/>
          <w:color w:val="000000" w:themeColor="text1"/>
          <w:sz w:val="24"/>
          <w:szCs w:val="24"/>
        </w:rPr>
        <w:t>教學設計或其他相關教學資料。</w:t>
      </w:r>
    </w:p>
    <w:p w:rsidR="00C13DDC" w:rsidRPr="0021186C" w:rsidRDefault="006817B3">
      <w:pPr>
        <w:widowControl w:val="0"/>
        <w:spacing w:line="360" w:lineRule="auto"/>
        <w:ind w:left="708" w:hanging="425"/>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(二)</w:t>
      </w:r>
      <w:r w:rsidR="00614904" w:rsidRPr="0021186C">
        <w:rPr>
          <w:rFonts w:ascii="標楷體" w:eastAsia="標楷體" w:hAnsi="標楷體" w:cs="標楷體"/>
          <w:color w:val="000000" w:themeColor="text1"/>
          <w:sz w:val="24"/>
          <w:szCs w:val="24"/>
        </w:rPr>
        <w:t>特教教師</w:t>
      </w:r>
      <w:r w:rsidRPr="0021186C">
        <w:rPr>
          <w:rFonts w:ascii="標楷體" w:eastAsia="標楷體" w:hAnsi="標楷體" w:cs="標楷體"/>
          <w:color w:val="000000" w:themeColor="text1"/>
          <w:sz w:val="24"/>
          <w:szCs w:val="24"/>
        </w:rPr>
        <w:t>得依學生特性、授課場域及任教班型彈性選擇觀課方式，觀課方式包括現場觀課、影片觀課及遠距觀課或其他型式。</w:t>
      </w:r>
    </w:p>
    <w:p w:rsidR="00C13DDC" w:rsidRPr="0021186C" w:rsidRDefault="006817B3">
      <w:pPr>
        <w:widowControl w:val="0"/>
        <w:spacing w:line="360" w:lineRule="auto"/>
        <w:ind w:left="708" w:hanging="425"/>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(三)若採用影片觀課及遠距觀課者應於事前取得家長同意文件，同時老師應負保密責任，避免影片外流。</w:t>
      </w:r>
    </w:p>
    <w:p w:rsidR="00C13DDC" w:rsidRPr="0021186C" w:rsidRDefault="006817B3">
      <w:pPr>
        <w:widowControl w:val="0"/>
        <w:spacing w:line="360" w:lineRule="auto"/>
        <w:ind w:left="708" w:hanging="425"/>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(四)</w:t>
      </w:r>
      <w:r w:rsidR="00614904" w:rsidRPr="0021186C">
        <w:rPr>
          <w:rFonts w:ascii="標楷體" w:eastAsia="標楷體" w:hAnsi="標楷體" w:cs="標楷體"/>
          <w:color w:val="000000" w:themeColor="text1"/>
          <w:sz w:val="24"/>
          <w:szCs w:val="24"/>
        </w:rPr>
        <w:t>觀課成員</w:t>
      </w:r>
      <w:r w:rsidR="00614904" w:rsidRPr="0021186C">
        <w:rPr>
          <w:rFonts w:ascii="標楷體" w:eastAsia="標楷體" w:hAnsi="標楷體" w:cs="標楷體" w:hint="eastAsia"/>
          <w:color w:val="000000" w:themeColor="text1"/>
          <w:sz w:val="24"/>
          <w:szCs w:val="24"/>
        </w:rPr>
        <w:t>建議</w:t>
      </w:r>
      <w:r w:rsidR="00614904" w:rsidRPr="0021186C">
        <w:rPr>
          <w:rFonts w:ascii="標楷體" w:eastAsia="標楷體" w:hAnsi="標楷體" w:cs="標楷體"/>
          <w:color w:val="000000" w:themeColor="text1"/>
          <w:sz w:val="24"/>
          <w:szCs w:val="24"/>
        </w:rPr>
        <w:t>以參與共備成員為主，</w:t>
      </w:r>
      <w:r w:rsidR="00614904" w:rsidRPr="0021186C">
        <w:rPr>
          <w:rFonts w:ascii="標楷體" w:eastAsia="標楷體" w:hAnsi="標楷體" w:cs="標楷體" w:hint="eastAsia"/>
          <w:color w:val="000000" w:themeColor="text1"/>
          <w:sz w:val="24"/>
          <w:szCs w:val="24"/>
        </w:rPr>
        <w:t>得</w:t>
      </w:r>
      <w:r w:rsidRPr="0021186C">
        <w:rPr>
          <w:rFonts w:ascii="標楷體" w:eastAsia="標楷體" w:hAnsi="標楷體" w:cs="標楷體"/>
          <w:color w:val="000000" w:themeColor="text1"/>
          <w:sz w:val="24"/>
          <w:szCs w:val="24"/>
        </w:rPr>
        <w:t>邀請校內(外)其他教師參與。</w:t>
      </w:r>
    </w:p>
    <w:p w:rsidR="00C13DDC" w:rsidRPr="0021186C" w:rsidRDefault="00861BD8">
      <w:pPr>
        <w:widowControl w:val="0"/>
        <w:pBdr>
          <w:top w:val="nil"/>
          <w:left w:val="nil"/>
          <w:bottom w:val="nil"/>
          <w:right w:val="nil"/>
          <w:between w:val="nil"/>
        </w:pBdr>
        <w:spacing w:line="360" w:lineRule="auto"/>
        <w:rPr>
          <w:rFonts w:ascii="標楷體" w:eastAsia="標楷體" w:hAnsi="標楷體" w:cs="標楷體"/>
          <w:color w:val="000000" w:themeColor="text1"/>
          <w:sz w:val="24"/>
          <w:szCs w:val="24"/>
        </w:rPr>
      </w:pPr>
      <w:r w:rsidRPr="0021186C">
        <w:rPr>
          <w:rFonts w:ascii="標楷體" w:eastAsia="標楷體" w:hAnsi="標楷體" w:cs="標楷體" w:hint="eastAsia"/>
          <w:color w:val="000000" w:themeColor="text1"/>
          <w:sz w:val="24"/>
          <w:szCs w:val="24"/>
        </w:rPr>
        <w:t>七</w:t>
      </w:r>
      <w:r w:rsidR="006817B3" w:rsidRPr="0021186C">
        <w:rPr>
          <w:rFonts w:ascii="標楷體" w:eastAsia="標楷體" w:hAnsi="標楷體" w:cs="標楷體"/>
          <w:color w:val="000000" w:themeColor="text1"/>
          <w:sz w:val="24"/>
          <w:szCs w:val="24"/>
        </w:rPr>
        <w:t>、議課實施方式</w:t>
      </w:r>
    </w:p>
    <w:p w:rsidR="008A7413" w:rsidRPr="0021186C" w:rsidRDefault="006817B3">
      <w:pPr>
        <w:widowControl w:val="0"/>
        <w:pBdr>
          <w:top w:val="nil"/>
          <w:left w:val="nil"/>
          <w:bottom w:val="nil"/>
          <w:right w:val="nil"/>
          <w:between w:val="nil"/>
        </w:pBdr>
        <w:spacing w:line="360" w:lineRule="auto"/>
        <w:ind w:left="283"/>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(一)議課活動</w:t>
      </w:r>
      <w:r w:rsidR="00D903C0" w:rsidRPr="0021186C">
        <w:rPr>
          <w:rFonts w:ascii="標楷體" w:eastAsia="標楷體" w:hAnsi="標楷體" w:cs="標楷體" w:hint="eastAsia"/>
          <w:color w:val="000000" w:themeColor="text1"/>
          <w:sz w:val="24"/>
          <w:szCs w:val="24"/>
        </w:rPr>
        <w:t>應考量對教學過程的清晰度</w:t>
      </w:r>
      <w:r w:rsidR="00AD6003" w:rsidRPr="0021186C">
        <w:rPr>
          <w:rFonts w:ascii="標楷體" w:eastAsia="標楷體" w:hAnsi="標楷體" w:cs="標楷體" w:hint="eastAsia"/>
          <w:color w:val="000000" w:themeColor="text1"/>
          <w:sz w:val="24"/>
          <w:szCs w:val="24"/>
        </w:rPr>
        <w:t>，</w:t>
      </w:r>
      <w:r w:rsidRPr="0021186C">
        <w:rPr>
          <w:rFonts w:ascii="標楷體" w:eastAsia="標楷體" w:hAnsi="標楷體" w:cs="標楷體"/>
          <w:color w:val="000000" w:themeColor="text1"/>
          <w:sz w:val="24"/>
          <w:szCs w:val="24"/>
        </w:rPr>
        <w:t>建議安排</w:t>
      </w:r>
      <w:r w:rsidR="00CF13F3" w:rsidRPr="0021186C">
        <w:rPr>
          <w:rFonts w:ascii="標楷體" w:eastAsia="標楷體" w:hAnsi="標楷體" w:cs="標楷體" w:hint="eastAsia"/>
          <w:color w:val="000000" w:themeColor="text1"/>
          <w:sz w:val="24"/>
          <w:szCs w:val="24"/>
        </w:rPr>
        <w:t>觀</w:t>
      </w:r>
      <w:r w:rsidRPr="0021186C">
        <w:rPr>
          <w:rFonts w:ascii="標楷體" w:eastAsia="標楷體" w:hAnsi="標楷體" w:cs="標楷體"/>
          <w:color w:val="000000" w:themeColor="text1"/>
          <w:sz w:val="24"/>
          <w:szCs w:val="24"/>
        </w:rPr>
        <w:t>課後當日進行，最慢不宜超過</w:t>
      </w:r>
      <w:r w:rsidR="00D903C0" w:rsidRPr="0021186C">
        <w:rPr>
          <w:rFonts w:ascii="標楷體" w:eastAsia="標楷體" w:hAnsi="標楷體" w:cs="標楷體" w:hint="eastAsia"/>
          <w:color w:val="000000" w:themeColor="text1"/>
          <w:sz w:val="24"/>
          <w:szCs w:val="24"/>
        </w:rPr>
        <w:t>三</w:t>
      </w:r>
    </w:p>
    <w:p w:rsidR="00C13DDC" w:rsidRPr="0021186C" w:rsidRDefault="00D903C0" w:rsidP="008A7413">
      <w:pPr>
        <w:widowControl w:val="0"/>
        <w:pBdr>
          <w:top w:val="nil"/>
          <w:left w:val="nil"/>
          <w:bottom w:val="nil"/>
          <w:right w:val="nil"/>
          <w:between w:val="nil"/>
        </w:pBdr>
        <w:spacing w:line="360" w:lineRule="auto"/>
        <w:ind w:left="283" w:firstLineChars="200" w:firstLine="480"/>
        <w:rPr>
          <w:rFonts w:ascii="標楷體" w:eastAsia="標楷體" w:hAnsi="標楷體" w:cs="標楷體"/>
          <w:color w:val="000000" w:themeColor="text1"/>
          <w:sz w:val="24"/>
          <w:szCs w:val="24"/>
        </w:rPr>
      </w:pPr>
      <w:r w:rsidRPr="0021186C">
        <w:rPr>
          <w:rFonts w:ascii="標楷體" w:eastAsia="標楷體" w:hAnsi="標楷體" w:cs="標楷體" w:hint="eastAsia"/>
          <w:color w:val="000000" w:themeColor="text1"/>
          <w:sz w:val="24"/>
          <w:szCs w:val="24"/>
        </w:rPr>
        <w:t>天</w:t>
      </w:r>
      <w:r w:rsidR="006817B3" w:rsidRPr="0021186C">
        <w:rPr>
          <w:rFonts w:ascii="標楷體" w:eastAsia="標楷體" w:hAnsi="標楷體" w:cs="標楷體"/>
          <w:color w:val="000000" w:themeColor="text1"/>
          <w:sz w:val="24"/>
          <w:szCs w:val="24"/>
        </w:rPr>
        <w:t>。</w:t>
      </w:r>
    </w:p>
    <w:p w:rsidR="00C13DDC" w:rsidRPr="0021186C" w:rsidRDefault="006817B3">
      <w:pPr>
        <w:widowControl w:val="0"/>
        <w:pBdr>
          <w:top w:val="nil"/>
          <w:left w:val="nil"/>
          <w:bottom w:val="nil"/>
          <w:right w:val="nil"/>
          <w:between w:val="nil"/>
        </w:pBdr>
        <w:spacing w:line="360" w:lineRule="auto"/>
        <w:ind w:left="283"/>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(二)</w:t>
      </w:r>
      <w:r w:rsidR="006D4776" w:rsidRPr="0021186C">
        <w:rPr>
          <w:rFonts w:ascii="標楷體" w:eastAsia="標楷體" w:hAnsi="標楷體" w:cs="標楷體"/>
          <w:color w:val="000000" w:themeColor="text1"/>
          <w:sz w:val="24"/>
          <w:szCs w:val="24"/>
        </w:rPr>
        <w:t>議課活動可視</w:t>
      </w:r>
      <w:r w:rsidR="006D4776" w:rsidRPr="0021186C">
        <w:rPr>
          <w:rFonts w:ascii="標楷體" w:eastAsia="標楷體" w:hAnsi="標楷體" w:cs="標楷體" w:hint="eastAsia"/>
          <w:color w:val="000000" w:themeColor="text1"/>
          <w:sz w:val="24"/>
          <w:szCs w:val="24"/>
        </w:rPr>
        <w:t>授課</w:t>
      </w:r>
      <w:r w:rsidRPr="0021186C">
        <w:rPr>
          <w:rFonts w:ascii="標楷體" w:eastAsia="標楷體" w:hAnsi="標楷體" w:cs="標楷體"/>
          <w:color w:val="000000" w:themeColor="text1"/>
          <w:sz w:val="24"/>
          <w:szCs w:val="24"/>
        </w:rPr>
        <w:t>者的需要安排主持人，串聯發言者對話並引發思考，不做結論。</w:t>
      </w:r>
    </w:p>
    <w:p w:rsidR="00C13DDC" w:rsidRPr="0021186C" w:rsidRDefault="006817B3">
      <w:pPr>
        <w:widowControl w:val="0"/>
        <w:pBdr>
          <w:top w:val="nil"/>
          <w:left w:val="nil"/>
          <w:bottom w:val="nil"/>
          <w:right w:val="nil"/>
          <w:between w:val="nil"/>
        </w:pBdr>
        <w:spacing w:line="360" w:lineRule="auto"/>
        <w:ind w:left="708" w:hanging="425"/>
        <w:rPr>
          <w:rFonts w:ascii="標楷體" w:eastAsia="標楷體" w:hAnsi="標楷體" w:cs="標楷體"/>
          <w:color w:val="000000" w:themeColor="text1"/>
          <w:sz w:val="24"/>
          <w:szCs w:val="24"/>
        </w:rPr>
      </w:pPr>
      <w:r w:rsidRPr="0021186C">
        <w:rPr>
          <w:rFonts w:ascii="標楷體" w:eastAsia="標楷體" w:hAnsi="標楷體" w:cs="標楷體"/>
          <w:color w:val="000000" w:themeColor="text1"/>
          <w:sz w:val="24"/>
          <w:szCs w:val="24"/>
        </w:rPr>
        <w:t>(三)</w:t>
      </w:r>
      <w:r w:rsidR="003C2CBD" w:rsidRPr="0021186C">
        <w:rPr>
          <w:rFonts w:ascii="標楷體" w:eastAsia="標楷體" w:hAnsi="標楷體" w:cs="標楷體"/>
          <w:color w:val="000000" w:themeColor="text1"/>
          <w:sz w:val="24"/>
          <w:szCs w:val="24"/>
        </w:rPr>
        <w:t>觀課者回饋時建議可從分享觀課的學習與收穫、回應</w:t>
      </w:r>
      <w:r w:rsidR="003C2CBD" w:rsidRPr="0021186C">
        <w:rPr>
          <w:rFonts w:ascii="標楷體" w:eastAsia="標楷體" w:hAnsi="標楷體" w:cs="標楷體" w:hint="eastAsia"/>
          <w:color w:val="000000" w:themeColor="text1"/>
          <w:sz w:val="24"/>
          <w:szCs w:val="24"/>
        </w:rPr>
        <w:t>授課</w:t>
      </w:r>
      <w:r w:rsidRPr="0021186C">
        <w:rPr>
          <w:rFonts w:ascii="標楷體" w:eastAsia="標楷體" w:hAnsi="標楷體" w:cs="標楷體"/>
          <w:color w:val="000000" w:themeColor="text1"/>
          <w:sz w:val="24"/>
          <w:szCs w:val="24"/>
        </w:rPr>
        <w:t>者關切的焦點、探究學生學習表現與教學、教材連結情形</w:t>
      </w:r>
      <w:r w:rsidR="006D4776" w:rsidRPr="0021186C">
        <w:rPr>
          <w:rFonts w:ascii="標楷體" w:eastAsia="標楷體" w:hAnsi="標楷體" w:cs="標楷體" w:hint="eastAsia"/>
          <w:color w:val="000000" w:themeColor="text1"/>
          <w:sz w:val="24"/>
          <w:szCs w:val="24"/>
        </w:rPr>
        <w:t>…</w:t>
      </w:r>
      <w:r w:rsidR="003C2CBD" w:rsidRPr="0021186C">
        <w:rPr>
          <w:rFonts w:ascii="標楷體" w:eastAsia="標楷體" w:hAnsi="標楷體" w:cs="標楷體"/>
          <w:color w:val="000000" w:themeColor="text1"/>
          <w:sz w:val="24"/>
          <w:szCs w:val="24"/>
        </w:rPr>
        <w:t>等切入，不宜對</w:t>
      </w:r>
      <w:r w:rsidR="003C2CBD" w:rsidRPr="0021186C">
        <w:rPr>
          <w:rFonts w:ascii="標楷體" w:eastAsia="標楷體" w:hAnsi="標楷體" w:cs="標楷體" w:hint="eastAsia"/>
          <w:color w:val="000000" w:themeColor="text1"/>
          <w:sz w:val="24"/>
          <w:szCs w:val="24"/>
        </w:rPr>
        <w:t>授課</w:t>
      </w:r>
      <w:r w:rsidRPr="0021186C">
        <w:rPr>
          <w:rFonts w:ascii="標楷體" w:eastAsia="標楷體" w:hAnsi="標楷體" w:cs="標楷體"/>
          <w:color w:val="000000" w:themeColor="text1"/>
          <w:sz w:val="24"/>
          <w:szCs w:val="24"/>
        </w:rPr>
        <w:t>者的教學做評價。</w:t>
      </w:r>
    </w:p>
    <w:p w:rsidR="00C13DDC" w:rsidRPr="0021186C" w:rsidRDefault="00861BD8">
      <w:pPr>
        <w:widowControl w:val="0"/>
        <w:pBdr>
          <w:top w:val="nil"/>
          <w:left w:val="nil"/>
          <w:bottom w:val="nil"/>
          <w:right w:val="nil"/>
          <w:between w:val="nil"/>
        </w:pBdr>
        <w:spacing w:line="360" w:lineRule="auto"/>
        <w:rPr>
          <w:rFonts w:ascii="標楷體" w:eastAsia="標楷體" w:hAnsi="標楷體" w:cs="標楷體"/>
          <w:color w:val="000000" w:themeColor="text1"/>
          <w:sz w:val="24"/>
          <w:szCs w:val="24"/>
        </w:rPr>
      </w:pPr>
      <w:r w:rsidRPr="0021186C">
        <w:rPr>
          <w:rFonts w:ascii="標楷體" w:eastAsia="標楷體" w:hAnsi="標楷體" w:cs="標楷體" w:hint="eastAsia"/>
          <w:color w:val="000000" w:themeColor="text1"/>
          <w:sz w:val="24"/>
          <w:szCs w:val="24"/>
        </w:rPr>
        <w:t>八</w:t>
      </w:r>
      <w:r w:rsidR="008B3F36" w:rsidRPr="0021186C">
        <w:rPr>
          <w:rFonts w:ascii="標楷體" w:eastAsia="標楷體" w:hAnsi="標楷體" w:cs="標楷體"/>
          <w:color w:val="000000" w:themeColor="text1"/>
          <w:sz w:val="24"/>
          <w:szCs w:val="24"/>
        </w:rPr>
        <w:t>、</w:t>
      </w:r>
      <w:r w:rsidR="008B3F36" w:rsidRPr="0021186C">
        <w:rPr>
          <w:rFonts w:ascii="標楷體" w:eastAsia="標楷體" w:hAnsi="標楷體" w:cs="標楷體" w:hint="eastAsia"/>
          <w:color w:val="000000" w:themeColor="text1"/>
          <w:sz w:val="24"/>
          <w:szCs w:val="24"/>
        </w:rPr>
        <w:t>建議學校</w:t>
      </w:r>
      <w:r w:rsidR="00927CA7" w:rsidRPr="0021186C">
        <w:rPr>
          <w:rFonts w:ascii="標楷體" w:eastAsia="標楷體" w:hAnsi="標楷體" w:cs="標楷體" w:hint="eastAsia"/>
          <w:color w:val="000000" w:themeColor="text1"/>
          <w:sz w:val="24"/>
          <w:szCs w:val="24"/>
        </w:rPr>
        <w:t>主動</w:t>
      </w:r>
      <w:r w:rsidR="008B3F36" w:rsidRPr="0021186C">
        <w:rPr>
          <w:rFonts w:ascii="標楷體" w:eastAsia="標楷體" w:hAnsi="標楷體" w:cs="標楷體" w:hint="eastAsia"/>
          <w:color w:val="000000" w:themeColor="text1"/>
          <w:sz w:val="24"/>
          <w:szCs w:val="24"/>
        </w:rPr>
        <w:t>邀請家長參與教師</w:t>
      </w:r>
      <w:r w:rsidR="006817B3" w:rsidRPr="0021186C">
        <w:rPr>
          <w:rFonts w:ascii="標楷體" w:eastAsia="標楷體" w:hAnsi="標楷體" w:cs="標楷體"/>
          <w:color w:val="000000" w:themeColor="text1"/>
          <w:sz w:val="24"/>
          <w:szCs w:val="24"/>
        </w:rPr>
        <w:t>公開授課活動。</w:t>
      </w:r>
    </w:p>
    <w:p w:rsidR="00C13DDC" w:rsidRDefault="00861BD8">
      <w:pPr>
        <w:widowControl w:val="0"/>
        <w:pBdr>
          <w:top w:val="nil"/>
          <w:left w:val="nil"/>
          <w:bottom w:val="nil"/>
          <w:right w:val="nil"/>
          <w:between w:val="nil"/>
        </w:pBdr>
        <w:spacing w:line="360" w:lineRule="auto"/>
        <w:ind w:left="425" w:hanging="425"/>
        <w:rPr>
          <w:rFonts w:ascii="標楷體" w:eastAsia="標楷體" w:hAnsi="標楷體" w:cs="標楷體"/>
          <w:color w:val="000000" w:themeColor="text1"/>
          <w:sz w:val="24"/>
          <w:szCs w:val="24"/>
        </w:rPr>
      </w:pPr>
      <w:r w:rsidRPr="0021186C">
        <w:rPr>
          <w:rFonts w:ascii="標楷體" w:eastAsia="標楷體" w:hAnsi="標楷體" w:cs="標楷體" w:hint="eastAsia"/>
          <w:color w:val="000000" w:themeColor="text1"/>
          <w:sz w:val="24"/>
          <w:szCs w:val="24"/>
        </w:rPr>
        <w:t>九</w:t>
      </w:r>
      <w:r w:rsidR="006817B3" w:rsidRPr="0021186C">
        <w:rPr>
          <w:rFonts w:ascii="標楷體" w:eastAsia="標楷體" w:hAnsi="標楷體" w:cs="標楷體"/>
          <w:color w:val="000000" w:themeColor="text1"/>
          <w:sz w:val="24"/>
          <w:szCs w:val="24"/>
        </w:rPr>
        <w:t>、依據本縣公開授課實施計畫規定，每年應於9月30日前逕自「彰化縣教師公開授課資訊系統」(http://163.23.200.30/observation/)填寫該學年度授課人員資料，並於每年6月30日前完成該學年度授課事實及系統填報，上傳公開授課成果(如</w:t>
      </w:r>
      <w:r w:rsidR="00E42E07" w:rsidRPr="0021186C">
        <w:rPr>
          <w:rFonts w:ascii="標楷體" w:eastAsia="標楷體" w:hAnsi="標楷體" w:cs="標楷體" w:hint="eastAsia"/>
          <w:color w:val="000000" w:themeColor="text1"/>
          <w:sz w:val="24"/>
          <w:szCs w:val="24"/>
        </w:rPr>
        <w:t>：</w:t>
      </w:r>
      <w:r w:rsidR="006817B3" w:rsidRPr="0021186C">
        <w:rPr>
          <w:rFonts w:ascii="標楷體" w:eastAsia="標楷體" w:hAnsi="標楷體" w:cs="標楷體"/>
          <w:color w:val="000000" w:themeColor="text1"/>
          <w:sz w:val="24"/>
          <w:szCs w:val="24"/>
        </w:rPr>
        <w:t>活動照片、教學設計或學習單)，以完成公開授課之結案。</w:t>
      </w:r>
    </w:p>
    <w:p w:rsidR="00A82D72" w:rsidRPr="00D177F4" w:rsidRDefault="00A82D72">
      <w:pPr>
        <w:widowControl w:val="0"/>
        <w:pBdr>
          <w:top w:val="nil"/>
          <w:left w:val="nil"/>
          <w:bottom w:val="nil"/>
          <w:right w:val="nil"/>
          <w:between w:val="nil"/>
        </w:pBdr>
        <w:spacing w:line="360" w:lineRule="auto"/>
        <w:ind w:left="425" w:hanging="425"/>
        <w:rPr>
          <w:rFonts w:ascii="標楷體" w:eastAsia="標楷體" w:hAnsi="標楷體" w:cs="標楷體"/>
          <w:color w:val="000000" w:themeColor="text1"/>
          <w:sz w:val="24"/>
          <w:szCs w:val="24"/>
        </w:rPr>
      </w:pPr>
      <w:r w:rsidRPr="00D177F4">
        <w:rPr>
          <w:rFonts w:ascii="標楷體" w:eastAsia="標楷體" w:hAnsi="標楷體" w:cs="標楷體" w:hint="eastAsia"/>
          <w:color w:val="000000" w:themeColor="text1"/>
          <w:sz w:val="24"/>
          <w:szCs w:val="24"/>
        </w:rPr>
        <w:t>十、特教教師</w:t>
      </w:r>
      <w:r w:rsidR="00D177F4" w:rsidRPr="00D177F4">
        <w:rPr>
          <w:rFonts w:ascii="標楷體" w:eastAsia="標楷體" w:hAnsi="標楷體" w:cs="標楷體" w:hint="eastAsia"/>
          <w:color w:val="000000" w:themeColor="text1"/>
          <w:sz w:val="24"/>
          <w:szCs w:val="24"/>
        </w:rPr>
        <w:t>得以公假參與</w:t>
      </w:r>
      <w:r w:rsidRPr="00D177F4">
        <w:rPr>
          <w:rFonts w:ascii="標楷體" w:eastAsia="標楷體" w:hAnsi="標楷體" w:cs="標楷體" w:hint="eastAsia"/>
          <w:color w:val="000000" w:themeColor="text1"/>
          <w:sz w:val="24"/>
          <w:szCs w:val="24"/>
        </w:rPr>
        <w:t>跨校公開授課活動，</w:t>
      </w:r>
      <w:r w:rsidR="00D177F4" w:rsidRPr="00D177F4">
        <w:rPr>
          <w:rFonts w:ascii="標楷體" w:eastAsia="標楷體" w:hAnsi="標楷體" w:cs="標楷體" w:hint="eastAsia"/>
          <w:color w:val="000000" w:themeColor="text1"/>
          <w:sz w:val="24"/>
          <w:szCs w:val="24"/>
        </w:rPr>
        <w:t>惟</w:t>
      </w:r>
      <w:r w:rsidRPr="00D177F4">
        <w:rPr>
          <w:rFonts w:ascii="標楷體" w:eastAsia="標楷體" w:hAnsi="標楷體" w:cs="標楷體" w:hint="eastAsia"/>
          <w:color w:val="000000" w:themeColor="text1"/>
          <w:sz w:val="24"/>
          <w:szCs w:val="24"/>
        </w:rPr>
        <w:t>課務</w:t>
      </w:r>
      <w:r w:rsidR="00D177F4" w:rsidRPr="00D177F4">
        <w:rPr>
          <w:rFonts w:ascii="標楷體" w:eastAsia="標楷體" w:hAnsi="標楷體" w:cs="標楷體" w:hint="eastAsia"/>
          <w:color w:val="000000" w:themeColor="text1"/>
          <w:sz w:val="24"/>
          <w:szCs w:val="24"/>
        </w:rPr>
        <w:t>需自理</w:t>
      </w:r>
      <w:r w:rsidRPr="00D177F4">
        <w:rPr>
          <w:rFonts w:ascii="標楷體" w:eastAsia="標楷體" w:hAnsi="標楷體" w:cs="標楷體" w:hint="eastAsia"/>
          <w:color w:val="000000" w:themeColor="text1"/>
          <w:sz w:val="24"/>
          <w:szCs w:val="24"/>
        </w:rPr>
        <w:t>。</w:t>
      </w:r>
    </w:p>
    <w:p w:rsidR="00A82D72" w:rsidRDefault="00861BD8">
      <w:pPr>
        <w:widowControl w:val="0"/>
        <w:pBdr>
          <w:top w:val="nil"/>
          <w:left w:val="nil"/>
          <w:bottom w:val="nil"/>
          <w:right w:val="nil"/>
          <w:between w:val="nil"/>
        </w:pBdr>
        <w:spacing w:line="360" w:lineRule="auto"/>
        <w:rPr>
          <w:rFonts w:ascii="標楷體" w:eastAsia="標楷體" w:hAnsi="標楷體" w:cs="標楷體"/>
          <w:color w:val="000000" w:themeColor="text1"/>
          <w:sz w:val="24"/>
          <w:szCs w:val="24"/>
        </w:rPr>
      </w:pPr>
      <w:r w:rsidRPr="0021186C">
        <w:rPr>
          <w:rFonts w:ascii="標楷體" w:eastAsia="標楷體" w:hAnsi="標楷體" w:cs="標楷體" w:hint="eastAsia"/>
          <w:color w:val="000000" w:themeColor="text1"/>
          <w:sz w:val="24"/>
          <w:szCs w:val="24"/>
        </w:rPr>
        <w:t>十</w:t>
      </w:r>
      <w:r w:rsidR="00A82D72">
        <w:rPr>
          <w:rFonts w:ascii="標楷體" w:eastAsia="標楷體" w:hAnsi="標楷體" w:cs="標楷體" w:hint="eastAsia"/>
          <w:color w:val="000000" w:themeColor="text1"/>
          <w:sz w:val="24"/>
          <w:szCs w:val="24"/>
        </w:rPr>
        <w:t>一</w:t>
      </w:r>
      <w:r w:rsidR="006817B3" w:rsidRPr="0021186C">
        <w:rPr>
          <w:rFonts w:ascii="標楷體" w:eastAsia="標楷體" w:hAnsi="標楷體" w:cs="標楷體"/>
          <w:color w:val="000000" w:themeColor="text1"/>
          <w:sz w:val="24"/>
          <w:szCs w:val="24"/>
        </w:rPr>
        <w:t>、學校訂定校本公開授課相關規定時，宜考量校內特教教師教學及特教學生之特性彈性</w:t>
      </w:r>
    </w:p>
    <w:p w:rsidR="00C13DDC" w:rsidRPr="0021186C" w:rsidRDefault="00A82D72">
      <w:pPr>
        <w:widowControl w:val="0"/>
        <w:pBdr>
          <w:top w:val="nil"/>
          <w:left w:val="nil"/>
          <w:bottom w:val="nil"/>
          <w:right w:val="nil"/>
          <w:between w:val="nil"/>
        </w:pBdr>
        <w:spacing w:line="360" w:lineRule="auto"/>
        <w:rPr>
          <w:rFonts w:ascii="標楷體" w:eastAsia="標楷體" w:hAnsi="標楷體" w:cs="標楷體"/>
          <w:color w:val="000000" w:themeColor="text1"/>
          <w:sz w:val="24"/>
          <w:szCs w:val="24"/>
        </w:rPr>
      </w:pPr>
      <w:r>
        <w:rPr>
          <w:rFonts w:ascii="標楷體" w:eastAsia="標楷體" w:hAnsi="標楷體" w:cs="標楷體" w:hint="eastAsia"/>
          <w:color w:val="000000" w:themeColor="text1"/>
          <w:sz w:val="24"/>
          <w:szCs w:val="24"/>
        </w:rPr>
        <w:t xml:space="preserve">   </w:t>
      </w:r>
      <w:r w:rsidR="006817B3" w:rsidRPr="0021186C">
        <w:rPr>
          <w:rFonts w:ascii="標楷體" w:eastAsia="標楷體" w:hAnsi="標楷體" w:cs="標楷體"/>
          <w:color w:val="000000" w:themeColor="text1"/>
          <w:sz w:val="24"/>
          <w:szCs w:val="24"/>
        </w:rPr>
        <w:t>調整辦理方式。</w:t>
      </w:r>
    </w:p>
    <w:p w:rsidR="00C13DDC" w:rsidRPr="0021186C" w:rsidRDefault="00C13DDC">
      <w:pPr>
        <w:widowControl w:val="0"/>
        <w:spacing w:line="360" w:lineRule="auto"/>
        <w:ind w:left="425" w:hanging="425"/>
        <w:jc w:val="both"/>
        <w:rPr>
          <w:rFonts w:ascii="標楷體" w:eastAsia="標楷體" w:hAnsi="標楷體" w:cs="標楷體"/>
          <w:color w:val="000000" w:themeColor="text1"/>
          <w:sz w:val="24"/>
          <w:szCs w:val="24"/>
        </w:rPr>
      </w:pPr>
    </w:p>
    <w:sectPr w:rsidR="00C13DDC" w:rsidRPr="0021186C">
      <w:footerReference w:type="default" r:id="rId8"/>
      <w:pgSz w:w="11906" w:h="16838"/>
      <w:pgMar w:top="851" w:right="1134" w:bottom="567" w:left="1133" w:header="0" w:footer="4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F07" w:rsidRDefault="009B3F07">
      <w:r>
        <w:separator/>
      </w:r>
    </w:p>
  </w:endnote>
  <w:endnote w:type="continuationSeparator" w:id="0">
    <w:p w:rsidR="009B3F07" w:rsidRDefault="009B3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DDC" w:rsidRDefault="006817B3">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D05AE7">
      <w:rPr>
        <w:rFonts w:eastAsia="Times New Roman"/>
        <w:noProof/>
        <w:color w:val="000000"/>
      </w:rPr>
      <w:t>1</w:t>
    </w:r>
    <w:r>
      <w:rPr>
        <w:color w:val="000000"/>
      </w:rPr>
      <w:fldChar w:fldCharType="end"/>
    </w:r>
  </w:p>
  <w:p w:rsidR="00C13DDC" w:rsidRDefault="00C13DDC">
    <w:pPr>
      <w:widowControl w:val="0"/>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F07" w:rsidRDefault="009B3F07">
      <w:r>
        <w:separator/>
      </w:r>
    </w:p>
  </w:footnote>
  <w:footnote w:type="continuationSeparator" w:id="0">
    <w:p w:rsidR="009B3F07" w:rsidRDefault="009B3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DDC"/>
    <w:rsid w:val="00096AC2"/>
    <w:rsid w:val="0021186C"/>
    <w:rsid w:val="002D30CF"/>
    <w:rsid w:val="002F2BA4"/>
    <w:rsid w:val="002F7D7B"/>
    <w:rsid w:val="003473C3"/>
    <w:rsid w:val="003B24F9"/>
    <w:rsid w:val="003C2CBD"/>
    <w:rsid w:val="003D45AF"/>
    <w:rsid w:val="00485A3E"/>
    <w:rsid w:val="005A1CBF"/>
    <w:rsid w:val="00614904"/>
    <w:rsid w:val="00657458"/>
    <w:rsid w:val="006817B3"/>
    <w:rsid w:val="006D4776"/>
    <w:rsid w:val="00714233"/>
    <w:rsid w:val="007E71D9"/>
    <w:rsid w:val="00861BD8"/>
    <w:rsid w:val="008A7413"/>
    <w:rsid w:val="008B3912"/>
    <w:rsid w:val="008B3F36"/>
    <w:rsid w:val="00927CA7"/>
    <w:rsid w:val="0094699D"/>
    <w:rsid w:val="009B3F07"/>
    <w:rsid w:val="00A6504A"/>
    <w:rsid w:val="00A716C5"/>
    <w:rsid w:val="00A72145"/>
    <w:rsid w:val="00A75913"/>
    <w:rsid w:val="00A82D72"/>
    <w:rsid w:val="00AD6003"/>
    <w:rsid w:val="00B46693"/>
    <w:rsid w:val="00B8403E"/>
    <w:rsid w:val="00B968F1"/>
    <w:rsid w:val="00BC7FA8"/>
    <w:rsid w:val="00C13DDC"/>
    <w:rsid w:val="00C2105B"/>
    <w:rsid w:val="00CF13F3"/>
    <w:rsid w:val="00D05AE7"/>
    <w:rsid w:val="00D177F4"/>
    <w:rsid w:val="00D36641"/>
    <w:rsid w:val="00D65A4F"/>
    <w:rsid w:val="00D903C0"/>
    <w:rsid w:val="00DD3D69"/>
    <w:rsid w:val="00E42E07"/>
    <w:rsid w:val="00FC1771"/>
    <w:rsid w:val="00FF0E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902315"/>
    <w:pPr>
      <w:tabs>
        <w:tab w:val="center" w:pos="4153"/>
        <w:tab w:val="right" w:pos="8306"/>
      </w:tabs>
      <w:snapToGrid w:val="0"/>
    </w:pPr>
  </w:style>
  <w:style w:type="character" w:customStyle="1" w:styleId="a6">
    <w:name w:val="頁首 字元"/>
    <w:basedOn w:val="a0"/>
    <w:link w:val="a5"/>
    <w:uiPriority w:val="99"/>
    <w:rsid w:val="00902315"/>
  </w:style>
  <w:style w:type="paragraph" w:styleId="a7">
    <w:name w:val="footer"/>
    <w:basedOn w:val="a"/>
    <w:link w:val="a8"/>
    <w:uiPriority w:val="99"/>
    <w:unhideWhenUsed/>
    <w:rsid w:val="00902315"/>
    <w:pPr>
      <w:tabs>
        <w:tab w:val="center" w:pos="4153"/>
        <w:tab w:val="right" w:pos="8306"/>
      </w:tabs>
      <w:snapToGrid w:val="0"/>
    </w:pPr>
  </w:style>
  <w:style w:type="character" w:customStyle="1" w:styleId="a8">
    <w:name w:val="頁尾 字元"/>
    <w:basedOn w:val="a0"/>
    <w:link w:val="a7"/>
    <w:uiPriority w:val="99"/>
    <w:rsid w:val="00902315"/>
  </w:style>
  <w:style w:type="paragraph" w:styleId="a9">
    <w:name w:val="Balloon Text"/>
    <w:basedOn w:val="a"/>
    <w:link w:val="aa"/>
    <w:uiPriority w:val="99"/>
    <w:semiHidden/>
    <w:unhideWhenUsed/>
    <w:rsid w:val="0069394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9394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902315"/>
    <w:pPr>
      <w:tabs>
        <w:tab w:val="center" w:pos="4153"/>
        <w:tab w:val="right" w:pos="8306"/>
      </w:tabs>
      <w:snapToGrid w:val="0"/>
    </w:pPr>
  </w:style>
  <w:style w:type="character" w:customStyle="1" w:styleId="a6">
    <w:name w:val="頁首 字元"/>
    <w:basedOn w:val="a0"/>
    <w:link w:val="a5"/>
    <w:uiPriority w:val="99"/>
    <w:rsid w:val="00902315"/>
  </w:style>
  <w:style w:type="paragraph" w:styleId="a7">
    <w:name w:val="footer"/>
    <w:basedOn w:val="a"/>
    <w:link w:val="a8"/>
    <w:uiPriority w:val="99"/>
    <w:unhideWhenUsed/>
    <w:rsid w:val="00902315"/>
    <w:pPr>
      <w:tabs>
        <w:tab w:val="center" w:pos="4153"/>
        <w:tab w:val="right" w:pos="8306"/>
      </w:tabs>
      <w:snapToGrid w:val="0"/>
    </w:pPr>
  </w:style>
  <w:style w:type="character" w:customStyle="1" w:styleId="a8">
    <w:name w:val="頁尾 字元"/>
    <w:basedOn w:val="a0"/>
    <w:link w:val="a7"/>
    <w:uiPriority w:val="99"/>
    <w:rsid w:val="00902315"/>
  </w:style>
  <w:style w:type="paragraph" w:styleId="a9">
    <w:name w:val="Balloon Text"/>
    <w:basedOn w:val="a"/>
    <w:link w:val="aa"/>
    <w:uiPriority w:val="99"/>
    <w:semiHidden/>
    <w:unhideWhenUsed/>
    <w:rsid w:val="0069394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6939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sFRhMqs+vySshHV+XBsrHrKcWw==">AMUW2mUkLN+bRwAXFGWWsYgaS1VFBPLa/Hn42/daowV9xHyzEjNXoj0hbvr0vovmcEaiNX2+BRQ75V1kP3kFNUits9qRgEu9kZpKK8rP9Rc5i1xmDiaTpo6btLPbAJP3m0swcVuCSqx1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234</Words>
  <Characters>1335</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cp:lastPrinted>2020-12-01T07:58:00Z</cp:lastPrinted>
  <dcterms:created xsi:type="dcterms:W3CDTF">2021-10-05T07:21:00Z</dcterms:created>
  <dcterms:modified xsi:type="dcterms:W3CDTF">2021-10-05T07:21:00Z</dcterms:modified>
</cp:coreProperties>
</file>