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11" w:rsidRDefault="004E3611" w:rsidP="004E3611">
      <w:pPr>
        <w:autoSpaceDE w:val="0"/>
        <w:adjustRightInd w:val="0"/>
        <w:snapToGrid w:val="0"/>
        <w:rPr>
          <w:rFonts w:ascii="標楷體" w:eastAsia="標楷體" w:hAnsi="標楷體"/>
          <w:b/>
          <w:bCs/>
          <w:color w:val="000000"/>
        </w:rPr>
      </w:pPr>
      <w:r>
        <w:rPr>
          <w:rFonts w:ascii="Times New Roman" w:eastAsia="標楷體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858CA8" wp14:editId="2771C055">
                <wp:simplePos x="0" y="0"/>
                <wp:positionH relativeFrom="column">
                  <wp:posOffset>51435</wp:posOffset>
                </wp:positionH>
                <wp:positionV relativeFrom="paragraph">
                  <wp:posOffset>19685</wp:posOffset>
                </wp:positionV>
                <wp:extent cx="768350" cy="333375"/>
                <wp:effectExtent l="0" t="0" r="12700" b="28575"/>
                <wp:wrapTight wrapText="bothSides">
                  <wp:wrapPolygon edited="0">
                    <wp:start x="0" y="0"/>
                    <wp:lineTo x="0" y="22217"/>
                    <wp:lineTo x="21421" y="22217"/>
                    <wp:lineTo x="21421" y="0"/>
                    <wp:lineTo x="0" y="0"/>
                  </wp:wrapPolygon>
                </wp:wrapTight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2E97" w:rsidRPr="00886489" w:rsidRDefault="00C72E97" w:rsidP="00C72E97">
                            <w:pPr>
                              <w:autoSpaceDE w:val="0"/>
                              <w:adjustRightInd w:val="0"/>
                              <w:rPr>
                                <w:rFonts w:ascii="標楷體" w:eastAsia="標楷體" w:hAnsi="標楷體" w:cs="DFKaiShu-SB-Estd-BF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</w:rPr>
                              <w:t>十</w:t>
                            </w:r>
                            <w:r w:rsidR="005F2325">
                              <w:rPr>
                                <w:rFonts w:ascii="標楷體" w:eastAsia="標楷體" w:hAnsi="標楷體" w:cs="DFKaiShu-SB-Estd-BF" w:hint="eastAsia"/>
                              </w:rPr>
                              <w:t>五</w:t>
                            </w:r>
                          </w:p>
                          <w:p w:rsidR="00C72E97" w:rsidRDefault="00C72E97" w:rsidP="00C72E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4.05pt;margin-top:1.55pt;width:60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nTcLAIAAEMEAAAOAAAAZHJzL2Uyb0RvYy54bWysU1GO0zAQ/UfiDpb/adpuu+1GTVerLkVI&#10;C6y0cADHcRILx2PGbtNyGaT94xAcB3ENJk5busAXwh+WxzN+nnlvZnG9awzbKvQabMZHgyFnykoo&#10;tK0y/uH9+sWcMx+ELYQBqzK+V55fL58/W7QuVWOowRQKGYFYn7Yu43UILk0SL2vVCD8Apyw5S8BG&#10;BDKxSgoULaE3JhkPh5dJC1g4BKm8p9vb3smXEb8slQzvytKrwEzGKbcQd4x73u3JciHSCoWrtTyk&#10;If4hi0ZoS5+eoG5FEGyD+g+oRksED2UYSGgSKEstVayBqhkNf6vmoRZOxVqIHO9ONPn/Byvfbu+R&#10;6YK048yKhiT68eXr92+PbNRx0zqfUsiDu8euOu/uQH70zMKqFrZSN4jQ1koUlFGMT5486AxPT1ne&#10;voGCoMUmQKRpV2LTARIBbBfV2J/UULvAJF3OLucXU9JMkuuC1mzaZZSI9PjYoQ+vFDSsO2QcSewI&#10;LrZ3PvShx5CYPBhdrLUx0cAqXxlkW0GNsY7rgO7Pw4xlbcavpuNpRH7i8+cQw7j+BtHoQB1udJPx&#10;+SlIpB1rL20R+y8IbfozVWcsFXlkrlcg7PLdQYwcij0RitB3Mk0eHWrAz5y11MUZ9582AhVn5rUl&#10;Ua5Gk0nX9tGYTGdjMvDck597hJUElfHAWX9chX5UNg51VdNPo0iDhRsSstSR5C7VPqtD3tSpUabD&#10;VHWjcG7HqF+zv/wJAAD//wMAUEsDBBQABgAIAAAAIQD3gSGh2wAAAAYBAAAPAAAAZHJzL2Rvd25y&#10;ZXYueG1sTI5BT4NAEIXvJv6HzZh4s0tp2rTI0BhNTTy29OJtgBFo2V3CLi36652e9PTm5b28+dLt&#10;ZDp14cG3ziLMZxEotqWrWlsjHPPd0xqUD2Qr6pxlhG/2sM3u71JKKne1e74cQq1kxPqEEJoQ+kRr&#10;XzZsyM9cz1ayLzcYCmKHWlcDXWXcdDqOopU21Fr50FDPrw2X58NoEIo2PtLPPn+PzGa3CB9Tfho/&#10;3xAfH6aXZ1CBp/BXhhu+oEMmTIUbbeVVh7CeSxFhIXJL440cBcJyuQKdpfo/fvYLAAD//wMAUEsB&#10;Ai0AFAAGAAgAAAAhALaDOJL+AAAA4QEAABMAAAAAAAAAAAAAAAAAAAAAAFtDb250ZW50X1R5cGVz&#10;XS54bWxQSwECLQAUAAYACAAAACEAOP0h/9YAAACUAQAACwAAAAAAAAAAAAAAAAAvAQAAX3JlbHMv&#10;LnJlbHNQSwECLQAUAAYACAAAACEA1sZ03CwCAABDBAAADgAAAAAAAAAAAAAAAAAuAgAAZHJzL2Uy&#10;b0RvYy54bWxQSwECLQAUAAYACAAAACEA94EhodsAAAAGAQAADwAAAAAAAAAAAAAAAACGBAAAZHJz&#10;L2Rvd25yZXYueG1sUEsFBgAAAAAEAAQA8wAAAI4FAAAAAA==&#10;">
                <v:textbox>
                  <w:txbxContent>
                    <w:p w:rsidR="00C72E97" w:rsidRPr="00886489" w:rsidRDefault="00C72E97" w:rsidP="00C72E97">
                      <w:pPr>
                        <w:autoSpaceDE w:val="0"/>
                        <w:adjustRightInd w:val="0"/>
                        <w:rPr>
                          <w:rFonts w:ascii="標楷體" w:eastAsia="標楷體" w:hAnsi="標楷體" w:cs="DFKaiShu-SB-Estd-BF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</w:rPr>
                        <w:t>十</w:t>
                      </w:r>
                      <w:r w:rsidR="005F2325">
                        <w:rPr>
                          <w:rFonts w:ascii="標楷體" w:eastAsia="標楷體" w:hAnsi="標楷體" w:cs="DFKaiShu-SB-Estd-BF" w:hint="eastAsia"/>
                        </w:rPr>
                        <w:t>五</w:t>
                      </w:r>
                    </w:p>
                    <w:p w:rsidR="00C72E97" w:rsidRDefault="00C72E97" w:rsidP="00C72E97"/>
                  </w:txbxContent>
                </v:textbox>
                <w10:wrap type="tight"/>
              </v:rect>
            </w:pict>
          </mc:Fallback>
        </mc:AlternateContent>
      </w:r>
    </w:p>
    <w:p w:rsidR="004E3611" w:rsidRDefault="004E3611" w:rsidP="004E3611">
      <w:pPr>
        <w:autoSpaceDE w:val="0"/>
        <w:adjustRightInd w:val="0"/>
        <w:snapToGrid w:val="0"/>
        <w:rPr>
          <w:rFonts w:ascii="標楷體" w:eastAsia="標楷體" w:hAnsi="標楷體"/>
          <w:b/>
          <w:bCs/>
          <w:color w:val="000000"/>
        </w:rPr>
      </w:pPr>
    </w:p>
    <w:p w:rsidR="004E3611" w:rsidRPr="007F2EA3" w:rsidRDefault="004E3611" w:rsidP="00242742">
      <w:pPr>
        <w:autoSpaceDE w:val="0"/>
        <w:adjustRightInd w:val="0"/>
        <w:snapToGrid w:val="0"/>
        <w:spacing w:line="240" w:lineRule="atLeast"/>
        <w:ind w:leftChars="-193" w:left="-284" w:rightChars="-64" w:right="-141" w:hangingChars="44" w:hanging="141"/>
        <w:rPr>
          <w:rFonts w:ascii="標楷體" w:eastAsia="標楷體" w:hAnsi="標楷體" w:cs="DFKaiShu-SB-Estd-BF"/>
          <w:b/>
          <w:sz w:val="32"/>
          <w:szCs w:val="32"/>
        </w:rPr>
      </w:pPr>
      <w:r w:rsidRPr="004E3611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彰化</w:t>
      </w:r>
      <w:r w:rsidRPr="007F2EA3">
        <w:rPr>
          <w:rFonts w:ascii="標楷體" w:eastAsia="標楷體" w:hAnsi="標楷體" w:hint="eastAsia"/>
          <w:b/>
          <w:bCs/>
          <w:sz w:val="32"/>
          <w:szCs w:val="32"/>
        </w:rPr>
        <w:t>縣</w:t>
      </w:r>
      <w:r w:rsidR="005F2325">
        <w:rPr>
          <w:rFonts w:ascii="標楷體" w:eastAsia="標楷體" w:hAnsi="標楷體" w:hint="eastAsia"/>
          <w:b/>
          <w:bCs/>
          <w:sz w:val="32"/>
          <w:szCs w:val="32"/>
        </w:rPr>
        <w:t>114</w:t>
      </w:r>
      <w:r w:rsidRPr="007F2EA3">
        <w:rPr>
          <w:rFonts w:ascii="標楷體" w:eastAsia="標楷體" w:hAnsi="標楷體" w:hint="eastAsia"/>
          <w:b/>
          <w:bCs/>
          <w:sz w:val="32"/>
          <w:szCs w:val="32"/>
        </w:rPr>
        <w:t>年度</w:t>
      </w:r>
      <w:bookmarkStart w:id="0" w:name="_GoBack"/>
      <w:bookmarkEnd w:id="0"/>
      <w:r w:rsidRPr="007F2EA3">
        <w:rPr>
          <w:rFonts w:ascii="標楷體" w:eastAsia="標楷體" w:hAnsi="標楷體" w:hint="eastAsia"/>
          <w:b/>
          <w:bCs/>
          <w:sz w:val="32"/>
          <w:szCs w:val="32"/>
        </w:rPr>
        <w:t>學校球場</w:t>
      </w:r>
      <w:r w:rsidR="00432132" w:rsidRPr="00242742">
        <w:rPr>
          <w:rFonts w:ascii="標楷體" w:eastAsia="標楷體" w:hAnsi="標楷體" w:hint="eastAsia"/>
          <w:b/>
          <w:bCs/>
          <w:sz w:val="32"/>
          <w:szCs w:val="32"/>
        </w:rPr>
        <w:t>(南彰化)</w:t>
      </w:r>
      <w:r w:rsidRPr="007F2EA3">
        <w:rPr>
          <w:rFonts w:ascii="標楷體" w:eastAsia="標楷體" w:hAnsi="標楷體" w:hint="eastAsia"/>
          <w:b/>
          <w:bCs/>
          <w:sz w:val="32"/>
          <w:szCs w:val="32"/>
        </w:rPr>
        <w:t>設置棚架式太陽光電發電設備公開標租案</w:t>
      </w:r>
    </w:p>
    <w:p w:rsidR="00F11F03" w:rsidRPr="007F2EA3" w:rsidRDefault="00F11F03" w:rsidP="004E3611">
      <w:pPr>
        <w:adjustRightInd w:val="0"/>
        <w:snapToGrid w:val="0"/>
        <w:spacing w:line="240" w:lineRule="atLeas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7F2EA3">
        <w:rPr>
          <w:rFonts w:ascii="Times New Roman" w:eastAsia="標楷體" w:hAnsi="Times New Roman" w:cs="Times New Roman"/>
          <w:b/>
          <w:sz w:val="32"/>
          <w:szCs w:val="32"/>
        </w:rPr>
        <w:t>檢驗項目</w:t>
      </w:r>
    </w:p>
    <w:tbl>
      <w:tblPr>
        <w:tblW w:w="11057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"/>
        <w:gridCol w:w="549"/>
        <w:gridCol w:w="7401"/>
        <w:gridCol w:w="1324"/>
        <w:gridCol w:w="709"/>
      </w:tblGrid>
      <w:tr w:rsidR="007F2EA3" w:rsidRPr="007F2EA3" w:rsidTr="00F950AF">
        <w:trPr>
          <w:trHeight w:val="210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1" w:name="_Hlk17280654"/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類別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項次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項目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檢查</w:t>
            </w:r>
          </w:p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結果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備註</w:t>
            </w:r>
          </w:p>
        </w:tc>
      </w:tr>
      <w:tr w:rsidR="005F2325" w:rsidRPr="007F2EA3" w:rsidTr="004F52B0">
        <w:trPr>
          <w:trHeight w:val="302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7F2EA3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440A4">
              <w:rPr>
                <w:rFonts w:ascii="Times New Roman" w:eastAsia="標楷體" w:hAnsi="Times New Roman" w:cs="Times New Roman"/>
                <w:sz w:val="28"/>
                <w:szCs w:val="28"/>
              </w:rPr>
              <w:t>球場設計與隔絕要求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7F2EA3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運動場由安全線（球場為球場邊線、非球場為區域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最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邊緣線），由地面起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算至梁底所有淨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高皆達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7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公尺（含）以上，且太陽能光電發電系統須完整覆蓋整個施作標的球場。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7F2EA3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7F2EA3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302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為考量屋頂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洩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水及太陽能光電板日照角度，建議屋頂設置</w:t>
            </w:r>
            <w:r w:rsidRPr="0043373E">
              <w:rPr>
                <w:rFonts w:ascii="Times New Roman" w:eastAsia="標楷體" w:hAnsi="Times New Roman" w:cs="Times New Roman"/>
                <w:spacing w:val="-24"/>
                <w:sz w:val="26"/>
                <w:szCs w:val="26"/>
                <w:lang w:eastAsia="zh-TW"/>
              </w:rPr>
              <w:t>斜率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6~8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度範圍內為佳。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265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每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個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球場結構支柱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需包覆由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地面起算，高度達</w:t>
            </w:r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2</w:t>
            </w:r>
            <w:r w:rsidRPr="0043373E">
              <w:rPr>
                <w:rFonts w:ascii="Times New Roman" w:eastAsia="標楷體" w:hAnsi="Times New Roman" w:cs="Times New Roman"/>
                <w:spacing w:val="72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公尺防護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墊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（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材質：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EVA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、厚度：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30mm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266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</w:rPr>
              <w:t>重要機電位置加裝隔離圍欄，並設置危險告示。</w:t>
            </w:r>
            <w:bookmarkStart w:id="2" w:name="_Hlk126084656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</w:rPr>
              <w:t>若為金屬隔離圍欄，應予接地。</w:t>
            </w:r>
            <w:bookmarkEnd w:id="2"/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overflowPunct w:val="0"/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266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照明設備及相關附屬用電設備須加裝設漏電斷路器，且需符合「用戶用電設備裝置規則」等相關規定，並於施工完成後確認漏電斷路器使用功能正常。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overflowPunct w:val="0"/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bookmarkStart w:id="3" w:name="_Hlk126084742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光電發電系統須獨立設置接地，</w:t>
            </w:r>
            <w:bookmarkEnd w:id="3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相關線路接地標準應依「用戶用電設備裝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置規則」等規範施作。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overflowPunct w:val="0"/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為避免場地濕滑，整體設計應達到防漏水。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惟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雨天是否可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教學、提供民眾使用需視當天狀況而定。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9"/>
                <w:sz w:val="26"/>
                <w:szCs w:val="26"/>
                <w:lang w:eastAsia="zh-TW"/>
              </w:rPr>
              <w:t>若加裝照明設備：照明設備應選擇適合該球場之照明設</w:t>
            </w:r>
            <w:r w:rsidRPr="0043373E">
              <w:rPr>
                <w:rFonts w:ascii="Times New Roman" w:eastAsia="標楷體" w:hAnsi="Times New Roman" w:cs="Times New Roman"/>
                <w:spacing w:val="-8"/>
                <w:sz w:val="26"/>
                <w:szCs w:val="26"/>
                <w:lang w:eastAsia="zh-TW"/>
              </w:rPr>
              <w:t>備，球場地面平均照度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 xml:space="preserve">300Lux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以上。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若需恢復或整新球場地坪：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球場基礎</w:t>
            </w: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地坪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建議塗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佈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潮濕時仍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具止滑度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之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壓克力面材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若需恢復或整新球場地坪：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運動</w:t>
            </w: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地坪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材料泡水後極易損壞，規劃運動場地區域排水應充分考慮下雨後，不應發生積水狀況。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若需恢復或整新球場地坪：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運動</w:t>
            </w: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地坪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施作完成面不低於排水溝高度，避免局部積水，又運動</w:t>
            </w: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地坪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洩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水坡度一般設計上限為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1%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坡度。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若需恢復或整新球場地坪：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基礎層應分層確實壓實，不能有波浪狀或海綿狀等。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運動場由安全線（球場為球場邊線、非球場為區域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最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邊緣線），由地面起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算至梁底所有淨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高皆達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7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公尺（含）以上，且太陽能光電發電系統須完整覆蓋整個施作標的球場。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為考量屋頂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洩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水及太陽能光電板日照角度，建議屋頂設置</w:t>
            </w:r>
            <w:r w:rsidRPr="0043373E">
              <w:rPr>
                <w:rFonts w:ascii="Times New Roman" w:eastAsia="標楷體" w:hAnsi="Times New Roman" w:cs="Times New Roman"/>
                <w:spacing w:val="-24"/>
                <w:sz w:val="26"/>
                <w:szCs w:val="26"/>
                <w:lang w:eastAsia="zh-TW"/>
              </w:rPr>
              <w:t>斜率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6~8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度範圍內為佳。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lastRenderedPageBreak/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結構系統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與組件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設計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proofErr w:type="gramStart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屋架結構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：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韌性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抗彎矩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構架系統為地上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</w:t>
            </w:r>
            <w:r w:rsidRPr="0043373E">
              <w:rPr>
                <w:rFonts w:ascii="Times New Roman" w:eastAsia="標楷體" w:hAnsi="Times New Roman" w:cs="Times New Roman"/>
                <w:spacing w:val="4"/>
                <w:sz w:val="26"/>
                <w:szCs w:val="26"/>
                <w:lang w:eastAsia="zh-TW"/>
              </w:rPr>
              <w:t>層鋼骨構造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物。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0"/>
                <w:sz w:val="26"/>
                <w:szCs w:val="26"/>
                <w:lang w:eastAsia="zh-TW"/>
              </w:rPr>
              <w:t>風雨球場結構以鋼構為主，亦可採用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RC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柱結合鋼構支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柱。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pacing w:val="19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基礎型式得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獨立基腳。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1"/>
                <w:sz w:val="26"/>
                <w:szCs w:val="26"/>
                <w:lang w:eastAsia="zh-TW"/>
              </w:rPr>
              <w:t>基礎底面應先鋪設高度至少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10</w:t>
            </w:r>
            <w:r w:rsidRPr="0043373E">
              <w:rPr>
                <w:rFonts w:ascii="Times New Roman" w:eastAsia="標楷體" w:hAnsi="Times New Roman" w:cs="Times New Roman"/>
                <w:spacing w:val="8"/>
                <w:sz w:val="26"/>
                <w:szCs w:val="26"/>
                <w:lang w:eastAsia="zh-TW"/>
              </w:rPr>
              <w:t>公分的墊底混凝土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fc’</w:t>
            </w:r>
            <w:proofErr w:type="gramStart"/>
            <w:r w:rsidRPr="0043373E">
              <w:rPr>
                <w:rFonts w:ascii="新細明體" w:eastAsia="新細明體" w:hAnsi="新細明體" w:cs="新細明體" w:hint="eastAsia"/>
                <w:sz w:val="26"/>
                <w:szCs w:val="26"/>
                <w:lang w:eastAsia="zh-TW"/>
              </w:rPr>
              <w:t>≧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140kgf/cm2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）後方可進行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放樣及基礎版工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3"/>
                <w:sz w:val="26"/>
                <w:szCs w:val="26"/>
                <w:lang w:eastAsia="zh-TW"/>
              </w:rPr>
              <w:t>結構設計應符合「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3"/>
                <w:sz w:val="26"/>
                <w:szCs w:val="26"/>
                <w:lang w:eastAsia="zh-TW"/>
              </w:rPr>
              <w:t>建築物耐風設計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13"/>
                <w:sz w:val="26"/>
                <w:szCs w:val="26"/>
                <w:lang w:eastAsia="zh-TW"/>
              </w:rPr>
              <w:t>規範及解說」之規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定，惟依據「國有公用不動產設置太陽光電發電設備租賃</w:t>
            </w:r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契約書」訂定基本設計風速在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32.5</w:t>
            </w:r>
            <w:r w:rsidRPr="0043373E">
              <w:rPr>
                <w:rFonts w:ascii="Times New Roman" w:eastAsia="標楷體" w:hAnsi="Times New Roman" w:cs="Times New Roman"/>
                <w:spacing w:val="-32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/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秒以下地區者，須</w:t>
            </w:r>
            <w:r w:rsidRPr="0043373E">
              <w:rPr>
                <w:rFonts w:ascii="Times New Roman" w:eastAsia="標楷體" w:hAnsi="Times New Roman" w:cs="Times New Roman"/>
                <w:spacing w:val="17"/>
                <w:sz w:val="26"/>
                <w:szCs w:val="26"/>
                <w:lang w:eastAsia="zh-TW"/>
              </w:rPr>
              <w:t>採用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32.5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/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秒之平均風速作為基本設計風速，另若高於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32.5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/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秒地區者，須採用各地區之平均風速作為基本設計風速，並考量陣風反應因子（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G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），由專業技師分別提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供結構計算書與各式連結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Connection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）安全檢核文件。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結構設計應依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建築物耐風設計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規範進行設計與檢核，其</w:t>
            </w:r>
            <w:r w:rsidRPr="0043373E">
              <w:rPr>
                <w:rFonts w:ascii="Times New Roman" w:eastAsia="標楷體" w:hAnsi="Times New Roman" w:cs="Times New Roman"/>
                <w:spacing w:val="21"/>
                <w:sz w:val="26"/>
                <w:szCs w:val="26"/>
                <w:lang w:eastAsia="zh-TW"/>
              </w:rPr>
              <w:t>中用途係數</w:t>
            </w:r>
            <w:r w:rsidRPr="0043373E">
              <w:rPr>
                <w:rFonts w:ascii="Times New Roman" w:eastAsia="標楷體" w:hAnsi="Times New Roman" w:cs="Times New Roman"/>
                <w:spacing w:val="20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pacing w:val="20"/>
                <w:sz w:val="26"/>
                <w:szCs w:val="26"/>
                <w:lang w:eastAsia="zh-TW"/>
              </w:rPr>
              <w:t>I</w:t>
            </w:r>
            <w:r w:rsidRPr="0043373E">
              <w:rPr>
                <w:rFonts w:ascii="Times New Roman" w:eastAsia="標楷體" w:hAnsi="Times New Roman" w:cs="Times New Roman"/>
                <w:spacing w:val="20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pacing w:val="28"/>
                <w:sz w:val="26"/>
                <w:szCs w:val="26"/>
                <w:lang w:eastAsia="zh-TW"/>
              </w:rPr>
              <w:t>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28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28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I=1.1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pacing w:val="21"/>
                <w:sz w:val="26"/>
                <w:szCs w:val="26"/>
                <w:lang w:eastAsia="zh-TW"/>
              </w:rPr>
              <w:t>含</w:t>
            </w:r>
            <w:r w:rsidRPr="0043373E">
              <w:rPr>
                <w:rFonts w:ascii="Times New Roman" w:eastAsia="標楷體" w:hAnsi="Times New Roman" w:cs="Times New Roman"/>
                <w:spacing w:val="18"/>
                <w:sz w:val="26"/>
                <w:szCs w:val="26"/>
                <w:lang w:eastAsia="zh-TW"/>
              </w:rPr>
              <w:t>）以上、陣風反應因子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G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，應先進行整體結構系統自然振動頻率分析，而決定陣風反應因子（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G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pacing w:val="12"/>
                <w:sz w:val="26"/>
                <w:szCs w:val="26"/>
                <w:lang w:eastAsia="zh-TW"/>
              </w:rPr>
              <w:t>值，但至少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2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G=1.88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（含）作為設計與計算基礎。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結構設計應符合「建築物耐震設計規範及解說」之規定，其中用途係數（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I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I=1.25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（含）以上作為設計與計算基礎。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螺絲組（包含螺絲、螺帽、平華司與彈簧華司等）應為同一材質，可為熱浸鍍鋅或電鍍鋅材質或不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銹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鋼材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質等抗腐蝕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材質，並取得抗腐蝕品質測試報告。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每一構件連結螺絲組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應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包含高抗腐蝕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螺絲、至少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片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彈</w:t>
            </w:r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簧華司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、至少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2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片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平板華司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、至少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2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個抗腐蝕六角螺帽或</w:t>
            </w:r>
            <w:r w:rsidRPr="0043373E">
              <w:rPr>
                <w:rFonts w:ascii="Times New Roman" w:eastAsia="標楷體" w:hAnsi="Times New Roman" w:cs="Times New Roman"/>
                <w:spacing w:val="-10"/>
                <w:sz w:val="26"/>
                <w:szCs w:val="26"/>
                <w:lang w:eastAsia="zh-TW"/>
              </w:rPr>
              <w:t>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</w:t>
            </w:r>
            <w:r w:rsidRPr="0043373E">
              <w:rPr>
                <w:rFonts w:ascii="Times New Roman" w:eastAsia="標楷體" w:hAnsi="Times New Roman" w:cs="Times New Roman"/>
                <w:spacing w:val="-2"/>
                <w:sz w:val="26"/>
                <w:szCs w:val="26"/>
                <w:lang w:eastAsia="zh-TW"/>
              </w:rPr>
              <w:t>個抗腐蝕六角螺帽以及於六角螺帽上再套上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個抗腐蝕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六角蓋型螺帽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所有螺栓組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及扣件材質具抗防蝕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能力，並取得耐久性防蝕之品質測試報告及保固保證。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支撐架若採用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鋁合金材質，</w:t>
            </w:r>
            <w:r w:rsidRPr="0043373E">
              <w:rPr>
                <w:rFonts w:ascii="Times New Roman" w:eastAsia="標楷體" w:hAnsi="Times New Roman" w:cs="Times New Roman"/>
                <w:spacing w:val="-10"/>
                <w:sz w:val="26"/>
                <w:szCs w:val="26"/>
                <w:lang w:eastAsia="zh-TW"/>
              </w:rPr>
              <w:t>螺栓、螺帽須為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304</w:t>
            </w:r>
            <w:r w:rsidRPr="0043373E">
              <w:rPr>
                <w:rFonts w:ascii="Times New Roman" w:eastAsia="標楷體" w:hAnsi="Times New Roman" w:cs="Times New Roman"/>
                <w:spacing w:val="-36"/>
                <w:sz w:val="26"/>
                <w:szCs w:val="26"/>
                <w:lang w:eastAsia="zh-TW"/>
              </w:rPr>
              <w:t>或</w:t>
            </w:r>
            <w:r w:rsidRPr="0043373E">
              <w:rPr>
                <w:rFonts w:ascii="Times New Roman" w:eastAsia="標楷體" w:hAnsi="Times New Roman" w:cs="Times New Roman"/>
                <w:spacing w:val="-36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316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不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銹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鋼材質。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所有結構支撐系統安裝組立時，現場不得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電焊加工，全部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螺栓連結固定方式。模組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鎖固螺栓須可辨識鎖固後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之方向性，並於支撐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架鎖固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完成後，以不會褪色之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油漆筆於螺栓之鎖固螺帽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畫線做識別，以利日後之巡檢。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F950AF">
        <w:trPr>
          <w:trHeight w:val="454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支撐架金屬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基材耐腐蝕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性能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支撐架表面處理的選擇，下列兩項處理方式：</w:t>
            </w:r>
          </w:p>
          <w:p w:rsidR="005F2325" w:rsidRPr="0043373E" w:rsidRDefault="00025FA7" w:rsidP="005F2325">
            <w:pPr>
              <w:pStyle w:val="TableParagraph"/>
              <w:numPr>
                <w:ilvl w:val="0"/>
                <w:numId w:val="3"/>
              </w:numPr>
              <w:suppressAutoHyphens w:val="0"/>
              <w:spacing w:line="340" w:lineRule="exact"/>
              <w:ind w:left="284" w:hanging="284"/>
              <w:jc w:val="both"/>
              <w:textAlignment w:val="auto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proofErr w:type="spellStart"/>
            <w:r w:rsidRPr="008D5E16">
              <w:rPr>
                <w:rFonts w:eastAsia="標楷體" w:hint="eastAsia"/>
                <w:kern w:val="3"/>
                <w:sz w:val="28"/>
                <w:szCs w:val="28"/>
              </w:rPr>
              <w:t>須採用熱浸鍍鋅鋼材</w:t>
            </w:r>
            <w:proofErr w:type="spellEnd"/>
            <w:r w:rsidR="005F2325"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  <w:p w:rsidR="005F2325" w:rsidRPr="0043373E" w:rsidRDefault="005F2325" w:rsidP="005F2325">
            <w:pPr>
              <w:pStyle w:val="TableParagraph"/>
              <w:numPr>
                <w:ilvl w:val="0"/>
                <w:numId w:val="3"/>
              </w:numPr>
              <w:suppressAutoHyphens w:val="0"/>
              <w:spacing w:line="340" w:lineRule="exact"/>
              <w:ind w:left="284" w:hanging="284"/>
              <w:jc w:val="both"/>
              <w:textAlignment w:val="auto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2"/>
                <w:sz w:val="26"/>
                <w:szCs w:val="26"/>
                <w:lang w:eastAsia="zh-TW"/>
              </w:rPr>
              <w:t>鋁合</w:t>
            </w:r>
            <w:r w:rsidRPr="0043373E">
              <w:rPr>
                <w:rFonts w:ascii="Times New Roman" w:eastAsia="標楷體" w:hAnsi="Times New Roman" w:cs="Times New Roman"/>
                <w:spacing w:val="8"/>
                <w:sz w:val="26"/>
                <w:szCs w:val="26"/>
                <w:lang w:eastAsia="zh-TW"/>
              </w:rPr>
              <w:t>金鋁擠型</w:t>
            </w:r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基材表面處理，其表面處理方式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陽極</w:t>
            </w:r>
            <w:r w:rsidRPr="0043373E">
              <w:rPr>
                <w:rFonts w:ascii="Times New Roman" w:eastAsia="標楷體" w:hAnsi="Times New Roman" w:cs="Times New Roman"/>
                <w:spacing w:val="13"/>
                <w:w w:val="95"/>
                <w:sz w:val="26"/>
                <w:szCs w:val="26"/>
                <w:lang w:eastAsia="zh-TW"/>
              </w:rPr>
              <w:t>處理厚度</w:t>
            </w:r>
            <w:r w:rsidRPr="0043373E">
              <w:rPr>
                <w:rFonts w:ascii="Times New Roman" w:eastAsia="標楷體" w:hAnsi="Times New Roman" w:cs="Times New Roman"/>
                <w:w w:val="95"/>
                <w:sz w:val="26"/>
                <w:szCs w:val="26"/>
                <w:lang w:eastAsia="zh-TW"/>
              </w:rPr>
              <w:t>14µm</w:t>
            </w:r>
            <w:r w:rsidRPr="0043373E">
              <w:rPr>
                <w:rFonts w:ascii="Times New Roman" w:eastAsia="標楷體" w:hAnsi="Times New Roman" w:cs="Times New Roman"/>
                <w:spacing w:val="6"/>
                <w:w w:val="95"/>
                <w:sz w:val="26"/>
                <w:szCs w:val="26"/>
                <w:lang w:eastAsia="zh-TW"/>
              </w:rPr>
              <w:t>以上及外加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6"/>
                <w:w w:val="95"/>
                <w:sz w:val="26"/>
                <w:szCs w:val="26"/>
                <w:lang w:eastAsia="zh-TW"/>
              </w:rPr>
              <w:t>一層膜厚</w:t>
            </w:r>
            <w:proofErr w:type="gramEnd"/>
            <w:r w:rsidRPr="0043373E">
              <w:rPr>
                <w:rFonts w:ascii="Times New Roman" w:eastAsia="標楷體" w:hAnsi="Times New Roman" w:cs="Times New Roman"/>
                <w:w w:val="95"/>
                <w:sz w:val="26"/>
                <w:szCs w:val="26"/>
                <w:lang w:eastAsia="zh-TW"/>
              </w:rPr>
              <w:t>7µm</w:t>
            </w:r>
            <w:r w:rsidRPr="0043373E">
              <w:rPr>
                <w:rFonts w:ascii="Times New Roman" w:eastAsia="標楷體" w:hAnsi="Times New Roman" w:cs="Times New Roman"/>
                <w:spacing w:val="57"/>
                <w:w w:val="95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w w:val="95"/>
                <w:sz w:val="26"/>
                <w:szCs w:val="26"/>
                <w:lang w:eastAsia="zh-TW"/>
              </w:rPr>
              <w:t>以上之壓克</w:t>
            </w:r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力透明漆之表面防蝕處理，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除鋁擠型構材外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的鋁合金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板、小配件等之表面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lastRenderedPageBreak/>
              <w:t>處理方式可為陽極處理厚度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7µm</w:t>
            </w:r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以上及外加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一層膜厚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7µm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以上之壓克力透明漆，且皆</w:t>
            </w:r>
            <w:r w:rsidRPr="0043373E">
              <w:rPr>
                <w:rFonts w:ascii="Times New Roman" w:eastAsia="標楷體" w:hAnsi="Times New Roman" w:cs="Times New Roman"/>
                <w:spacing w:val="-13"/>
                <w:sz w:val="26"/>
                <w:szCs w:val="26"/>
                <w:lang w:eastAsia="zh-TW"/>
              </w:rPr>
              <w:t>需取得具有</w:t>
            </w:r>
            <w:r w:rsidRPr="0043373E">
              <w:rPr>
                <w:rFonts w:ascii="Times New Roman" w:eastAsia="標楷體" w:hAnsi="Times New Roman" w:cs="Times New Roman"/>
                <w:spacing w:val="-13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TAF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認可之測試實驗室測試合格報告。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lastRenderedPageBreak/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F950AF">
        <w:trPr>
          <w:trHeight w:val="454"/>
        </w:trPr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025FA7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所有結構支撐系統材料皆需提供材質規格及出廠證明、表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面防蝕處理施作說明、材質、規格與品質保證證明。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a4"/>
              <w:overflowPunct w:val="0"/>
              <w:spacing w:line="400" w:lineRule="exact"/>
              <w:ind w:left="0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a4"/>
              <w:overflowPunct w:val="0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kern w:val="3"/>
                <w:sz w:val="28"/>
                <w:szCs w:val="28"/>
                <w:lang w:eastAsia="zh-TW"/>
              </w:rPr>
            </w:pPr>
          </w:p>
        </w:tc>
      </w:tr>
      <w:tr w:rsidR="005F2325" w:rsidTr="009558F4">
        <w:trPr>
          <w:trHeight w:val="454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太陽光電模組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太陽光電模組產品須全數符合經濟部標準檢驗局「台灣高效能太陽光電模組技術規範」自願性產品驗證及通過「太陽光電自願性產品驗證工廠檢查特定規範」。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系統規格要求根據「用戶用電設備裝置規則」內太陽能系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統專章。並另提出電機工程技師簽證。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太陽光電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模組鋁框與鋼構材接觸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位置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應加裝具耐久性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之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有效絕緣墊片以隔開二者，避免產生電位差腐蝕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螺絲組與太陽光電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模組鋁框接觸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處之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平板華司下方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應再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加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裝具耐久性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之有效絕緣墊片以隔開螺絲組及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模組鋁框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972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所有隔絕電位差之耐久性有效絕緣墊片應提出材質規格及證明資料。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2000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單一模組與支撐架正面連結（上扣）及背部連結（下鎖）</w:t>
            </w:r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的固定組件共計需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8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個點以上。如太陽能光電模組距離屋</w:t>
            </w:r>
            <w:r w:rsidRPr="0043373E">
              <w:rPr>
                <w:rFonts w:ascii="Times New Roman" w:eastAsia="標楷體" w:hAnsi="Times New Roman" w:cs="Times New Roman"/>
                <w:spacing w:val="-10"/>
                <w:sz w:val="26"/>
                <w:szCs w:val="26"/>
                <w:lang w:eastAsia="zh-TW"/>
              </w:rPr>
              <w:t>頂面最高高度超過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0.3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公尺以下之系統，單一模組與支撐架正面連結（上扣）</w:t>
            </w:r>
            <w:r w:rsidRPr="0043373E">
              <w:rPr>
                <w:rFonts w:ascii="Times New Roman" w:eastAsia="標楷體" w:hAnsi="Times New Roman" w:cs="Times New Roman"/>
                <w:spacing w:val="8"/>
                <w:sz w:val="26"/>
                <w:szCs w:val="26"/>
                <w:lang w:eastAsia="zh-TW"/>
              </w:rPr>
              <w:t>必須與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根支架組件（位於模組上中下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側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連結固定，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連結扣件共計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需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6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組以上。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1653"/>
        </w:trPr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7.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若需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併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接甲方電網，乙方需裝設</w:t>
            </w:r>
            <w:r w:rsidRPr="00772247">
              <w:rPr>
                <w:rFonts w:ascii="Times New Roman" w:eastAsia="標楷體" w:hAnsi="Times New Roman" w:cs="Times New Roman" w:hint="eastAsia"/>
                <w:b/>
                <w:bCs/>
                <w:sz w:val="26"/>
                <w:szCs w:val="26"/>
                <w:lang w:eastAsia="zh-TW"/>
              </w:rPr>
              <w:t>機械式電表及雙向電表</w:t>
            </w:r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，裝設位置及規格經外聘委員（太陽光電領域）審查通過，且應提供各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併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接點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饋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入電力的數位即時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資訊予甲方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電力監控系統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介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接，以維持需量控制正常運作，所需費用亦由乙方負擔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F11F03" w:rsidRDefault="00F11F03" w:rsidP="00F11F03">
      <w:pPr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註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：檢驗結果須全部為是，若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有否者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，則需由得標廠商盡速修正，以完成檢驗。</w:t>
      </w:r>
    </w:p>
    <w:bookmarkEnd w:id="1"/>
    <w:p w:rsidR="00F11F03" w:rsidRDefault="00F11F03" w:rsidP="00F11F03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6D1928" w:rsidRPr="00F11F03" w:rsidRDefault="006D1928"/>
    <w:sectPr w:rsidR="006D1928" w:rsidRPr="00F11F03" w:rsidSect="00242742">
      <w:pgSz w:w="11906" w:h="16838"/>
      <w:pgMar w:top="1134" w:right="849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A64" w:rsidRDefault="00B61A64" w:rsidP="00C72E97">
      <w:pPr>
        <w:spacing w:line="240" w:lineRule="auto"/>
      </w:pPr>
      <w:r>
        <w:separator/>
      </w:r>
    </w:p>
  </w:endnote>
  <w:endnote w:type="continuationSeparator" w:id="0">
    <w:p w:rsidR="00B61A64" w:rsidRDefault="00B61A64" w:rsidP="00C72E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A64" w:rsidRDefault="00B61A64" w:rsidP="00C72E97">
      <w:pPr>
        <w:spacing w:line="240" w:lineRule="auto"/>
      </w:pPr>
      <w:r>
        <w:separator/>
      </w:r>
    </w:p>
  </w:footnote>
  <w:footnote w:type="continuationSeparator" w:id="0">
    <w:p w:rsidR="00B61A64" w:rsidRDefault="00B61A64" w:rsidP="00C72E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35F61"/>
    <w:multiLevelType w:val="multilevel"/>
    <w:tmpl w:val="B3762F5E"/>
    <w:lvl w:ilvl="0">
      <w:start w:val="1"/>
      <w:numFmt w:val="decimal"/>
      <w:suff w:val="space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D9C7F7D"/>
    <w:multiLevelType w:val="multilevel"/>
    <w:tmpl w:val="422AD7EC"/>
    <w:lvl w:ilvl="0">
      <w:start w:val="1"/>
      <w:numFmt w:val="decimal"/>
      <w:suff w:val="space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5786EAB"/>
    <w:multiLevelType w:val="hybridMultilevel"/>
    <w:tmpl w:val="65328C4C"/>
    <w:lvl w:ilvl="0" w:tplc="87FAFC02">
      <w:start w:val="1"/>
      <w:numFmt w:val="decimal"/>
      <w:lvlText w:val="%1."/>
      <w:lvlJc w:val="left"/>
      <w:pPr>
        <w:ind w:left="2182" w:hanging="480"/>
      </w:pPr>
    </w:lvl>
    <w:lvl w:ilvl="1" w:tplc="78D02434">
      <w:start w:val="1"/>
      <w:numFmt w:val="ideographTraditional"/>
      <w:lvlText w:val="%2、"/>
      <w:lvlJc w:val="left"/>
      <w:pPr>
        <w:ind w:left="2662" w:hanging="480"/>
      </w:pPr>
    </w:lvl>
    <w:lvl w:ilvl="2" w:tplc="2C4A9916">
      <w:start w:val="1"/>
      <w:numFmt w:val="lowerRoman"/>
      <w:lvlText w:val="%3."/>
      <w:lvlJc w:val="right"/>
      <w:pPr>
        <w:ind w:left="3142" w:hanging="480"/>
      </w:pPr>
    </w:lvl>
    <w:lvl w:ilvl="3" w:tplc="8B886BEE">
      <w:start w:val="1"/>
      <w:numFmt w:val="decimal"/>
      <w:lvlText w:val="%4."/>
      <w:lvlJc w:val="left"/>
      <w:pPr>
        <w:ind w:left="3622" w:hanging="480"/>
      </w:pPr>
    </w:lvl>
    <w:lvl w:ilvl="4" w:tplc="FF6206DA">
      <w:start w:val="1"/>
      <w:numFmt w:val="ideographTraditional"/>
      <w:lvlText w:val="%5、"/>
      <w:lvlJc w:val="left"/>
      <w:pPr>
        <w:ind w:left="4102" w:hanging="480"/>
      </w:pPr>
    </w:lvl>
    <w:lvl w:ilvl="5" w:tplc="220A4CBC">
      <w:start w:val="1"/>
      <w:numFmt w:val="lowerRoman"/>
      <w:lvlText w:val="%6."/>
      <w:lvlJc w:val="right"/>
      <w:pPr>
        <w:ind w:left="4582" w:hanging="480"/>
      </w:pPr>
    </w:lvl>
    <w:lvl w:ilvl="6" w:tplc="178CCD36">
      <w:start w:val="1"/>
      <w:numFmt w:val="decimal"/>
      <w:lvlText w:val="%7."/>
      <w:lvlJc w:val="left"/>
      <w:pPr>
        <w:ind w:left="5062" w:hanging="480"/>
      </w:pPr>
    </w:lvl>
    <w:lvl w:ilvl="7" w:tplc="46882056">
      <w:start w:val="1"/>
      <w:numFmt w:val="ideographTraditional"/>
      <w:lvlText w:val="%8、"/>
      <w:lvlJc w:val="left"/>
      <w:pPr>
        <w:ind w:left="5542" w:hanging="480"/>
      </w:pPr>
    </w:lvl>
    <w:lvl w:ilvl="8" w:tplc="0436FA28">
      <w:start w:val="1"/>
      <w:numFmt w:val="lowerRoman"/>
      <w:lvlText w:val="%9."/>
      <w:lvlJc w:val="right"/>
      <w:pPr>
        <w:ind w:left="6022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03"/>
    <w:rsid w:val="00025FA7"/>
    <w:rsid w:val="0004094D"/>
    <w:rsid w:val="00095DB7"/>
    <w:rsid w:val="000E5EEF"/>
    <w:rsid w:val="00134B83"/>
    <w:rsid w:val="00242742"/>
    <w:rsid w:val="002E5AF0"/>
    <w:rsid w:val="003106C9"/>
    <w:rsid w:val="003E607C"/>
    <w:rsid w:val="003F080F"/>
    <w:rsid w:val="00432132"/>
    <w:rsid w:val="004E3611"/>
    <w:rsid w:val="00517A7B"/>
    <w:rsid w:val="0053577D"/>
    <w:rsid w:val="00555E7D"/>
    <w:rsid w:val="00584BB8"/>
    <w:rsid w:val="005F2325"/>
    <w:rsid w:val="006639BD"/>
    <w:rsid w:val="006D1928"/>
    <w:rsid w:val="00731004"/>
    <w:rsid w:val="007F2EA3"/>
    <w:rsid w:val="008C7E78"/>
    <w:rsid w:val="008D5E16"/>
    <w:rsid w:val="00A86331"/>
    <w:rsid w:val="00B61A64"/>
    <w:rsid w:val="00C14E9E"/>
    <w:rsid w:val="00C72E97"/>
    <w:rsid w:val="00CC5A00"/>
    <w:rsid w:val="00F11F03"/>
    <w:rsid w:val="00F440A4"/>
    <w:rsid w:val="00F6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2325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F11F03"/>
    <w:pPr>
      <w:ind w:left="480"/>
    </w:pPr>
  </w:style>
  <w:style w:type="paragraph" w:styleId="a4">
    <w:name w:val="Body Text"/>
    <w:basedOn w:val="a"/>
    <w:link w:val="a5"/>
    <w:rsid w:val="00F11F03"/>
    <w:pPr>
      <w:widowControl w:val="0"/>
      <w:autoSpaceDE w:val="0"/>
      <w:spacing w:line="240" w:lineRule="auto"/>
      <w:ind w:left="1212"/>
    </w:pPr>
    <w:rPr>
      <w:rFonts w:ascii="Noto Sans CJK JP Regular" w:eastAsia="Noto Sans CJK JP Regular" w:hAnsi="Noto Sans CJK JP Regular" w:cs="Noto Sans CJK JP Regular"/>
      <w:sz w:val="24"/>
      <w:szCs w:val="24"/>
      <w:lang w:eastAsia="en-US"/>
    </w:rPr>
  </w:style>
  <w:style w:type="character" w:customStyle="1" w:styleId="a5">
    <w:name w:val="本文 字元"/>
    <w:basedOn w:val="a0"/>
    <w:link w:val="a4"/>
    <w:rsid w:val="00F11F03"/>
    <w:rPr>
      <w:rFonts w:ascii="Noto Sans CJK JP Regular" w:eastAsia="Noto Sans CJK JP Regular" w:hAnsi="Noto Sans CJK JP Regular" w:cs="Noto Sans CJK JP Regular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11F03"/>
    <w:pPr>
      <w:widowControl w:val="0"/>
      <w:autoSpaceDE w:val="0"/>
      <w:spacing w:line="240" w:lineRule="auto"/>
    </w:pPr>
    <w:rPr>
      <w:rFonts w:ascii="Noto Sans CJK JP Regular" w:eastAsia="Noto Sans CJK JP Regular" w:hAnsi="Noto Sans CJK JP Regular" w:cs="Noto Sans CJK JP Regular"/>
      <w:lang w:eastAsia="en-US"/>
    </w:rPr>
  </w:style>
  <w:style w:type="paragraph" w:styleId="a6">
    <w:name w:val="header"/>
    <w:basedOn w:val="a"/>
    <w:link w:val="a7"/>
    <w:uiPriority w:val="99"/>
    <w:unhideWhenUsed/>
    <w:rsid w:val="00C72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72E97"/>
    <w:rPr>
      <w:rFonts w:ascii="Arial" w:eastAsia="新細明體" w:hAnsi="Arial" w:cs="Arial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72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72E97"/>
    <w:rPr>
      <w:rFonts w:ascii="Arial" w:eastAsia="新細明體" w:hAnsi="Arial" w:cs="Arial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C5A0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C5A0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2325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F11F03"/>
    <w:pPr>
      <w:ind w:left="480"/>
    </w:pPr>
  </w:style>
  <w:style w:type="paragraph" w:styleId="a4">
    <w:name w:val="Body Text"/>
    <w:basedOn w:val="a"/>
    <w:link w:val="a5"/>
    <w:rsid w:val="00F11F03"/>
    <w:pPr>
      <w:widowControl w:val="0"/>
      <w:autoSpaceDE w:val="0"/>
      <w:spacing w:line="240" w:lineRule="auto"/>
      <w:ind w:left="1212"/>
    </w:pPr>
    <w:rPr>
      <w:rFonts w:ascii="Noto Sans CJK JP Regular" w:eastAsia="Noto Sans CJK JP Regular" w:hAnsi="Noto Sans CJK JP Regular" w:cs="Noto Sans CJK JP Regular"/>
      <w:sz w:val="24"/>
      <w:szCs w:val="24"/>
      <w:lang w:eastAsia="en-US"/>
    </w:rPr>
  </w:style>
  <w:style w:type="character" w:customStyle="1" w:styleId="a5">
    <w:name w:val="本文 字元"/>
    <w:basedOn w:val="a0"/>
    <w:link w:val="a4"/>
    <w:rsid w:val="00F11F03"/>
    <w:rPr>
      <w:rFonts w:ascii="Noto Sans CJK JP Regular" w:eastAsia="Noto Sans CJK JP Regular" w:hAnsi="Noto Sans CJK JP Regular" w:cs="Noto Sans CJK JP Regular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11F03"/>
    <w:pPr>
      <w:widowControl w:val="0"/>
      <w:autoSpaceDE w:val="0"/>
      <w:spacing w:line="240" w:lineRule="auto"/>
    </w:pPr>
    <w:rPr>
      <w:rFonts w:ascii="Noto Sans CJK JP Regular" w:eastAsia="Noto Sans CJK JP Regular" w:hAnsi="Noto Sans CJK JP Regular" w:cs="Noto Sans CJK JP Regular"/>
      <w:lang w:eastAsia="en-US"/>
    </w:rPr>
  </w:style>
  <w:style w:type="paragraph" w:styleId="a6">
    <w:name w:val="header"/>
    <w:basedOn w:val="a"/>
    <w:link w:val="a7"/>
    <w:uiPriority w:val="99"/>
    <w:unhideWhenUsed/>
    <w:rsid w:val="00C72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72E97"/>
    <w:rPr>
      <w:rFonts w:ascii="Arial" w:eastAsia="新細明體" w:hAnsi="Arial" w:cs="Arial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72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72E97"/>
    <w:rPr>
      <w:rFonts w:ascii="Arial" w:eastAsia="新細明體" w:hAnsi="Arial" w:cs="Arial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C5A0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C5A0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3C64B-D076-4B49-AA3E-8DDD8298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chcg</cp:lastModifiedBy>
  <cp:revision>13</cp:revision>
  <cp:lastPrinted>2021-06-08T05:58:00Z</cp:lastPrinted>
  <dcterms:created xsi:type="dcterms:W3CDTF">2021-06-30T08:14:00Z</dcterms:created>
  <dcterms:modified xsi:type="dcterms:W3CDTF">2025-07-02T08:45:00Z</dcterms:modified>
</cp:coreProperties>
</file>